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76" w:rsidRPr="007D68B7" w:rsidRDefault="00272B76" w:rsidP="00272B76">
      <w:pPr>
        <w:autoSpaceDE w:val="0"/>
        <w:autoSpaceDN w:val="0"/>
        <w:adjustRightInd w:val="0"/>
        <w:spacing w:before="240" w:after="0" w:line="240" w:lineRule="auto"/>
        <w:jc w:val="center"/>
        <w:rPr>
          <w:rFonts w:ascii="A" w:hAnsi="A" w:cs="A"/>
          <w:sz w:val="20"/>
          <w:szCs w:val="20"/>
          <w:lang w:eastAsia="pl-PL"/>
        </w:rPr>
      </w:pPr>
      <w:bookmarkStart w:id="0" w:name="_GoBack"/>
      <w:bookmarkEnd w:id="0"/>
      <w:r w:rsidRPr="007D68B7">
        <w:rPr>
          <w:rFonts w:ascii="A" w:hAnsi="A" w:cs="A"/>
          <w:b/>
          <w:bCs/>
          <w:sz w:val="20"/>
          <w:szCs w:val="20"/>
          <w:lang w:eastAsia="pl-PL"/>
        </w:rPr>
        <w:t>Rozdział 7</w:t>
      </w:r>
    </w:p>
    <w:p w:rsidR="00272B76" w:rsidRPr="007D68B7" w:rsidRDefault="00272B76" w:rsidP="00272B76">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Ławnicy</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158.</w:t>
      </w:r>
      <w:r w:rsidRPr="007D68B7">
        <w:rPr>
          <w:rFonts w:ascii="A" w:hAnsi="A" w:cs="A"/>
          <w:sz w:val="20"/>
          <w:szCs w:val="20"/>
          <w:lang w:eastAsia="pl-PL"/>
        </w:rPr>
        <w:t> § 1. Ławnikiem może być wybrany ten, kto:</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posiada obywatelstwo polskie i korzysta z pełni praw cywilnych i obywatelskich;</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jest nieskazitelnego charakteru;</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ukończył 30 lat;</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jest zatrudniony, prowadzi działalność gospodarczą lub mieszka w miejscu kandydowania co najmniej od roku;</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nie przekroczył 70 lat;</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jest zdolny, ze względu na stan zdrowia, do pełnienia obowiązków ławnika;</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posiada co najmniej wykształcenie średnie.</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orzekania w sprawach z zakresu prawa pracy ławnikiem powinna być wybrana osoba wykazująca szczególną znajomość spraw pracowniczych.</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159.</w:t>
      </w:r>
      <w:r w:rsidRPr="007D68B7">
        <w:rPr>
          <w:rFonts w:ascii="A" w:hAnsi="A" w:cs="A"/>
          <w:sz w:val="20"/>
          <w:szCs w:val="20"/>
          <w:lang w:eastAsia="pl-PL"/>
        </w:rPr>
        <w:t> § 1. Ławnikami nie mogą być:</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osoby zatrudnione w sądach powszechnych i innych sądach oraz w prokuraturze;</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osoby wchodzące w skład organów, od których orzeczenia można żądać skierowania sprawy na drogę postępowania sądowego;</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funkcjonariusze Policji oraz inne osoby zajmujące stanowiska związane ze ściganiem przestępstw i wykroczeń;</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adwokaci i aplikanci adwokaccy;</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radcy prawni i aplikanci radcowscy;</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duchowni;</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żołnierze w czynnej służbie wojskowej;</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8)</w:t>
      </w:r>
      <w:r w:rsidRPr="007D68B7">
        <w:rPr>
          <w:rFonts w:ascii="A" w:hAnsi="A" w:cs="A"/>
          <w:sz w:val="20"/>
          <w:szCs w:val="20"/>
          <w:lang w:eastAsia="pl-PL"/>
        </w:rPr>
        <w:tab/>
        <w:t>funkcjonariusze Służby Więziennej;</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9)</w:t>
      </w:r>
      <w:r w:rsidRPr="007D68B7">
        <w:rPr>
          <w:rFonts w:ascii="A" w:hAnsi="A" w:cs="A"/>
          <w:sz w:val="20"/>
          <w:szCs w:val="20"/>
          <w:lang w:eastAsia="pl-PL"/>
        </w:rPr>
        <w:tab/>
        <w:t>radni gminy, powiatu i województwa.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Nie można być ławnikiem jednocześnie w więcej niż jednym sądzie.</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160.</w:t>
      </w:r>
      <w:r w:rsidRPr="007D68B7">
        <w:rPr>
          <w:rFonts w:ascii="A" w:hAnsi="A" w:cs="A"/>
          <w:sz w:val="20"/>
          <w:szCs w:val="20"/>
          <w:lang w:eastAsia="pl-PL"/>
        </w:rPr>
        <w:t> § 1. Ławników do sądów okręgowych oraz do sądów rejonowych wybierają rady gmin, których obszar jest objęty właściwością tych sądów - w głosowaniu tajnym.</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Wybory przygotowują gminy jako zadanie zlecone z zakresu administracji rządowej.</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161.</w:t>
      </w:r>
      <w:r w:rsidRPr="007D68B7">
        <w:rPr>
          <w:rFonts w:ascii="A" w:hAnsi="A" w:cs="A"/>
          <w:sz w:val="20"/>
          <w:szCs w:val="20"/>
          <w:lang w:eastAsia="pl-PL"/>
        </w:rPr>
        <w:t> § 1. Liczbę ławników wybieranych przez poszczególne rady gmin do wszystkich sądów działających na obszarze właściwości sądu okręgowego, w tym także liczbę ławników do orzekania w sprawach z zakresu prawa pracy, ustala kolegium sądu okręgowego; liczbę ławników do poszczególnych sądów rejonowych ustala się po zasięgnięciu opinii prezesów tych sądów.</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okręgowego podaje liczbę ławników do wiadomości poszczególnym radom gmin najpóźniej na trzydzieści dni przed upływem terminu zgłaszania kandydatów.</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162.</w:t>
      </w:r>
      <w:r w:rsidRPr="007D68B7">
        <w:rPr>
          <w:rFonts w:ascii="A" w:hAnsi="A" w:cs="A"/>
          <w:sz w:val="20"/>
          <w:szCs w:val="20"/>
          <w:lang w:eastAsia="pl-PL"/>
        </w:rPr>
        <w:t> § 1. 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zgłoszenia kandydata na ławnika dokonanego na karcie zgłoszenia dołącza się następujące dokumenty:</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informację z Krajowego Rejestru Karnego dotyczącą zgłaszanej osoby;</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oświadczenie kandydata, że nie jest prowadzone przeciwko niemu postępowanie o przestępstwo ścigane z oskarżenia publicznego lub przestępstwo skarbowe;</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oświadczenie kandydata, że nie jest lub nie był pozbawiony władzy rodzicielskiej, a także, że władza rodzicielska nie została mu ograniczona ani zawieszona;</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 xml:space="preserve">zaświadczenie lekarskie o stanie zdrowia, wystawione przez lekarza, o którym mowa w art. 55 ust. 2a ustawy z dnia 27 sierpnia 2004 r. o świadczeniach opieki zdrowotnej finansowanych ze środków publicznych (Dz. U. z 2008 r. Nr 164, poz. 1027,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stwierdzające brak przeciwwskazań do wykonywania funkcji ławnika;</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lastRenderedPageBreak/>
        <w:t>5)</w:t>
      </w:r>
      <w:r w:rsidRPr="007D68B7">
        <w:rPr>
          <w:rFonts w:ascii="A" w:hAnsi="A" w:cs="A"/>
          <w:sz w:val="20"/>
          <w:szCs w:val="20"/>
          <w:lang w:eastAsia="pl-PL"/>
        </w:rPr>
        <w:tab/>
        <w:t>dwa zdjęcia zgodne z wymogami stosowanymi przy składaniu wniosku o wydanie dowodu osobistego.</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Dokumenty wymienione w § 2 pkt 1-4 powinny być opatrzone datą nie wcześniejszą niż trzydzieści dni przed dniem zgłoszenia, a dokumenty wymienione w § 3 nie wcześniejszą niż trzy miesiące przed dniem zgłoszenia.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Osobą uprawnioną do składania wyjaśnień w sprawie zgłoszenia kandydata na ławnika przez obywateli jest osoba, której nazwisko zostało umieszczone jako pierwsze na liście, o której mowa w § 4.</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Koszt opłaty za wydanie informacji z Krajowego Rejestru Karnego oraz opłaty za badanie lekarskie i za wystawienie zaświadczenia lekarskiego ponosi kandydat na ławnika.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Koszt opłaty za wydanie aktualnego odpisu z Krajowego Rejestru Sądowego albo odpisu lub zaświadczenia z innego właściwego rejestru lub ewidencji ponosi podmiot, którego dotyczy odpis lub zaświadczenie.</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Zgłoszenia kandydatów, które wpłynęły do rady gminy po upływie terminu, o którym mowa w § 1, a także zgłoszenia, które nie spełniają wymagań formalnych, o których mowa w § 2-5, pozostawia się bez dalszego biegu. Przywrócenie terminu do zgłoszenia kandydatów jest niedopuszczalne. Pozostawienie zgłoszenia bez dalszego biegu rada gminy stwierdza w drodze uchwały.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 potrzebę ujednolicenia procedury zgłaszania, ułatwienia dostępu do wzoru i rozpatrywania zgłoszeń.</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163.</w:t>
      </w:r>
      <w:r w:rsidRPr="007D68B7">
        <w:rPr>
          <w:rFonts w:ascii="A" w:hAnsi="A" w:cs="A"/>
          <w:sz w:val="20"/>
          <w:szCs w:val="20"/>
          <w:lang w:eastAsia="pl-PL"/>
        </w:rPr>
        <w:t> § 1. Wybory ławników odbywają się najpóźniej w październiku roku kalendarzowego, w którym upływa kadencja dotychczasowych ławników.</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Przed przystąpieniem do wyborów rada gminy powołuje zespół, który przedstawia na sesji rady gminy swoją opinię o zgłoszonych kandydatach, w szczególności w zakresie spełnienia przez nich wymogów określonych w ustawie.</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164.</w:t>
      </w:r>
      <w:r w:rsidRPr="007D68B7">
        <w:rPr>
          <w:rFonts w:ascii="A" w:hAnsi="A" w:cs="A"/>
          <w:sz w:val="20"/>
          <w:szCs w:val="20"/>
          <w:lang w:eastAsia="pl-PL"/>
        </w:rPr>
        <w:t> § 1. Listę wybranych ławników wraz z dokumentami, o których mowa w art. 162 § 2-4,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wręcza ławnikom zawiadomienie o wyborze i odbiera od nich ślubowanie według roty ustalonej dla sędziów, z odpowiednią zmianą.</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 odebraniu ślubowania prezes sądu wpisuje ławnika na listę ławników, którzy mogą być wyznaczani do orzekania, i wydaje mu legitymację.</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165.</w:t>
      </w:r>
      <w:r w:rsidRPr="007D68B7">
        <w:rPr>
          <w:rFonts w:ascii="A" w:hAnsi="A" w:cs="A"/>
          <w:sz w:val="20"/>
          <w:szCs w:val="20"/>
          <w:lang w:eastAsia="pl-PL"/>
        </w:rPr>
        <w:t> § 1. Kadencja ławników sądów okręgowych i rejonowych trwa cztery lata kalendarzowe następujące po roku, w którym dokonano wyborów, jednak mandat ławnika wybranego dodatkowo wygasa z upływem kadencji ogółu ławników.</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Po upływie kadencji ławnik może brać udział jedynie w rozpoznawaniu sprawy rozpoczętej wcześniej z jego udziałem, do czasu jej zakończenia.</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166.</w:t>
      </w:r>
      <w:r w:rsidRPr="007D68B7">
        <w:rPr>
          <w:rFonts w:ascii="A" w:hAnsi="A" w:cs="A"/>
          <w:sz w:val="20"/>
          <w:szCs w:val="20"/>
          <w:lang w:eastAsia="pl-PL"/>
        </w:rPr>
        <w:t> § 1. 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Rada gminy, która wybrała ławnika, może go odwołać na wniosek prezesa właściwego sądu, w razie:</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(uchylony)</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niewykonywania obowiązków ławnika;</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zachowania godzącego w powagę sądu;</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niezdolności do wykonywania obowiązków ławnika.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jego doręczenia podmiotowi uprawnionemu do wydania opinii. Niewydanie opinii w terminie uważa się za niezgłoszenie uwag do wniosku. Przepis art. 31 § 2 stosuje się odpowiednio.</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Przed podjęciem uchwały w sprawie wniosku o odwołanie ławnika przewodniczący rady gminy umożliwia wysłuchanie ławnika i jego udział w posiedzeniu właściwej komisji i w sesji rady gminy, na których taki wniosek będzie opiniowany i rozpoznawany. O terminach posiedzenia komisji i sesji rady gminy ławnik jest powiadamiany na piśmie, co najmniej z siedmiodniowym wyprzedzeniem, w trybie i w sposób przewidziany w Kodeksie postępowania administracyjnego.</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2c. W sprawach, o których mowa w § 2b, ławnik działa osobiście, a w razie niemożności osobistego stawiennictwa może działać przez pełnomocnika.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Przed upływem kadencji mandat ławnika wygasa z dniem doręczenia mu zawiadomienia prezesa sądu o skreśleniu z listy ławników wskutek zrzeczenia się mandatu z ważnych przyczyn lub odwołania ławnika przez radę gminy.</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167.</w:t>
      </w:r>
      <w:r w:rsidRPr="007D68B7">
        <w:rPr>
          <w:rFonts w:ascii="A" w:hAnsi="A" w:cs="A"/>
          <w:sz w:val="20"/>
          <w:szCs w:val="20"/>
          <w:lang w:eastAsia="pl-PL"/>
        </w:rPr>
        <w:t> § 1. W czasie trwania kadencji nie powołuje się ławnika do pełnienia obowiązków w przypadku:</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ujawnienia okoliczności, które nie pozwalały na jego wybór;</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wszczęcia postępowania o odwołanie ławnika - do czasu podjęcia przez radę gminy uchwały w przedmiocie odwołania;</w:t>
      </w:r>
    </w:p>
    <w:p w:rsidR="00272B76" w:rsidRPr="007D68B7" w:rsidRDefault="00272B76" w:rsidP="00272B76">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wszczęcia przeciwko ławnikowi postępowania o przestępstwo ścigane z oskarżenia publicznego lub przestępstwo skarbowe - do czasu prawomocnego rozstrzygnięcia sprawy.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zniesienia sądu, ośrodka zamiejscowego lub wydziału zamiejscowego - ławnicy tych jednostek stają się ławnikami sądów, które przejmują kompetencje zniesionych jednostek.</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168.</w:t>
      </w:r>
      <w:r w:rsidRPr="007D68B7">
        <w:rPr>
          <w:rFonts w:ascii="A" w:hAnsi="A" w:cs="A"/>
          <w:sz w:val="20"/>
          <w:szCs w:val="20"/>
          <w:lang w:eastAsia="pl-PL"/>
        </w:rPr>
        <w:t> W razie potrzeby, zwłaszcza z powodu zmniejszenia się w czasie kadencji liczby ławników, rada gminy na wniosek prezesa sądu okręgowego dokonuje uzupełnienia listy, wybierając nowych ławników w sposób określony w ustawie.</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169.</w:t>
      </w:r>
      <w:r w:rsidRPr="007D68B7">
        <w:rPr>
          <w:rFonts w:ascii="A" w:hAnsi="A" w:cs="A"/>
          <w:sz w:val="20"/>
          <w:szCs w:val="20"/>
          <w:lang w:eastAsia="pl-PL"/>
        </w:rPr>
        <w:t> § 1. W zakresie orzekania ławnicy są niezawiśli i podlegają tylko Konstytucji oraz ustawom.</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Ławnik nie może przewodniczyć na rozprawie i naradzie ani też wykonywać czynności sędziego poza rozprawą, chyba że ustawy stanowią inaczej.</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ławników przepis art. 85 § 4 stosuje się odpowiednio.</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170.</w:t>
      </w:r>
      <w:r w:rsidRPr="007D68B7">
        <w:rPr>
          <w:rFonts w:ascii="A" w:hAnsi="A" w:cs="A"/>
          <w:sz w:val="20"/>
          <w:szCs w:val="20"/>
          <w:lang w:eastAsia="pl-PL"/>
        </w:rPr>
        <w:t> § 1. Ławnik może być wyznaczony do udziału w rozprawach do dwunastu dni w ciągu roku; liczba tych dni może być zwiększona przez prezesa sądu tylko z ważnych przyczyn, a zwłaszcza w przypadku konieczności zakończenia rozprawy z udziałem tego ławnika.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Wyznaczając ławnika do udziału w rozprawie, zawiadamia się o tym jednocześnie pracodawcę zatrudniającego ławnika.</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171.</w:t>
      </w:r>
      <w:r w:rsidRPr="007D68B7">
        <w:rPr>
          <w:rFonts w:ascii="A" w:hAnsi="A" w:cs="A"/>
          <w:sz w:val="20"/>
          <w:szCs w:val="20"/>
          <w:lang w:eastAsia="pl-PL"/>
        </w:rPr>
        <w:t xml:space="preserve"> § 1. Prezes sądu może wyznaczyć ławnika dodatkowego do rozprawy, jeżeli istnieje prawdopodobieństwo, że będzie ona trwać czas dłuższy. W razie potrzeby można wyznaczyć dwóch </w:t>
      </w:r>
      <w:r w:rsidRPr="007D68B7">
        <w:rPr>
          <w:rFonts w:ascii="A" w:hAnsi="A" w:cs="A"/>
          <w:sz w:val="20"/>
          <w:szCs w:val="20"/>
          <w:lang w:eastAsia="pl-PL"/>
        </w:rPr>
        <w:lastRenderedPageBreak/>
        <w:t>ławników dodatkowych; w takim razie należy wskazać kolejność, w której będą oni wstępować do udziału w naradzie i głosowaniu.</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Ławnik dodatkowy bierze udział w naradzie i głosowaniu, jeżeli jeden z ławników nie może uczestniczyć w składzie sądu.</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172.</w:t>
      </w:r>
      <w:r w:rsidRPr="007D68B7">
        <w:rPr>
          <w:rFonts w:ascii="A" w:hAnsi="A" w:cs="A"/>
          <w:sz w:val="20"/>
          <w:szCs w:val="20"/>
          <w:lang w:eastAsia="pl-PL"/>
        </w:rPr>
        <w:t> § 1. Pracodawca zatrudniający ławnika jest obowiązany zwolnić go od pracy na czas wykonywania czynności w sądzie.</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 czas zwolnienia od pracy ławnik zachowuje prawo do świadczeń wynikających ze stosunku pracy, z wyjątkiem prawa do wynagrodzenia.</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Wysokość rekompensaty dla ławników biorących udział w rozpoznawaniu spraw w sądach powszechnych, za jeden dzień pełnienia obowiązków ławnika, wynosi 1,9% podstawy ustalenia wynagrodzenia zasadniczego sędziego, o której mowa w art. 91 § 1c.</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Koszty wypłaty rekompensaty, o której mowa w § 3, ponosi Skarb Państwa.</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173.</w:t>
      </w:r>
      <w:r w:rsidRPr="007D68B7">
        <w:rPr>
          <w:rFonts w:ascii="A" w:hAnsi="A" w:cs="A"/>
          <w:sz w:val="20"/>
          <w:szCs w:val="20"/>
          <w:lang w:eastAsia="pl-PL"/>
        </w:rPr>
        <w:t> Ławnicy zamieszkali poza siedzibą sądu otrzymują diety oraz zwrot kosztów przejazdu i noclegu według zasad ustalonych w tym zakresie dla sędziów.</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174.</w:t>
      </w:r>
      <w:r w:rsidRPr="007D68B7">
        <w:rPr>
          <w:rFonts w:ascii="A" w:hAnsi="A" w:cs="A"/>
          <w:sz w:val="20"/>
          <w:szCs w:val="20"/>
          <w:lang w:eastAsia="pl-PL"/>
        </w:rPr>
        <w:t> § 1. Należności, o których mowa w art. 172 § 3 i art. 173, przyznaje prezes właściwego sądu.</w:t>
      </w:r>
    </w:p>
    <w:p w:rsidR="00272B76" w:rsidRPr="007D68B7" w:rsidRDefault="00272B76" w:rsidP="00272B76">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sz w:val="20"/>
          <w:szCs w:val="20"/>
          <w:lang w:eastAsia="pl-PL"/>
        </w:rPr>
        <w:t>§ 2. Od decyzji prezesa sądu rejonowego przysługuje odwołanie do prezesa sądu okręgowego, a gdy decyzję w pierwszej instancji wydał prezes sądu okręgowego lub prezes sądu apelacyjnego - do Ministra Sprawiedliwości.</w:t>
      </w:r>
    </w:p>
    <w:p w:rsidR="00272B76" w:rsidRPr="007D68B7" w:rsidRDefault="00272B76" w:rsidP="00272B76">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175.</w:t>
      </w:r>
      <w:r w:rsidRPr="007D68B7">
        <w:rPr>
          <w:rFonts w:ascii="A" w:hAnsi="A" w:cs="A"/>
          <w:sz w:val="20"/>
          <w:szCs w:val="20"/>
          <w:lang w:eastAsia="pl-PL"/>
        </w:rPr>
        <w:t> § 1. Ławnicy każdego sądu wybierają ze swego grona radę ławniczą, jej przewodniczącego i zastępców.</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zadań rady ławniczej należy w szczególności podnoszenie poziomu pracy ławników i ich reprezentowanie oraz pobudzanie działalności wychowawczej ławników w społeczeństwie.</w:t>
      </w:r>
    </w:p>
    <w:p w:rsidR="00272B76" w:rsidRPr="007D68B7" w:rsidRDefault="00272B76" w:rsidP="00272B76">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p w:rsidR="00412D63" w:rsidRPr="00121D2A" w:rsidRDefault="00412D63" w:rsidP="00121D2A">
      <w:pPr>
        <w:spacing w:after="0"/>
        <w:rPr>
          <w:rFonts w:ascii="Times New Roman" w:hAnsi="Times New Roman"/>
          <w:sz w:val="24"/>
          <w:szCs w:val="24"/>
        </w:rPr>
      </w:pPr>
    </w:p>
    <w:sectPr w:rsidR="00412D63" w:rsidRPr="00121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76"/>
    <w:rsid w:val="00051857"/>
    <w:rsid w:val="00121D2A"/>
    <w:rsid w:val="00272B76"/>
    <w:rsid w:val="00366186"/>
    <w:rsid w:val="00412D63"/>
    <w:rsid w:val="00456BF9"/>
    <w:rsid w:val="00484FE6"/>
    <w:rsid w:val="007A4C56"/>
    <w:rsid w:val="00B1701B"/>
    <w:rsid w:val="00DE1A45"/>
    <w:rsid w:val="00DE7B20"/>
    <w:rsid w:val="00EC0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B7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B7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11637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SLaptop</dc:creator>
  <cp:keywords/>
  <dc:description/>
  <cp:lastModifiedBy>SLaptop</cp:lastModifiedBy>
  <cp:revision>2</cp:revision>
  <dcterms:created xsi:type="dcterms:W3CDTF">2015-06-03T05:54:00Z</dcterms:created>
  <dcterms:modified xsi:type="dcterms:W3CDTF">2015-06-03T05:54:00Z</dcterms:modified>
</cp:coreProperties>
</file>