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a5f67" w14:textId="e3a5f67">
      <w:pPr>
        <w:pStyle w:val="TitleStyle"/>
        <w15:collapsed w:val="false"/>
      </w:pPr>
      <w:r>
        <w:t>Prawo o ustroju sądów powszechnych. </w:t>
      </w:r>
    </w:p>
    <w:p>
      <w:pPr>
        <w:pStyle w:val="NormalStyle"/>
      </w:pPr>
      <w:r>
        <w:t>Dz.U.2019.52 t.j. z dnia 2019.01.11</w:t>
      </w:r>
    </w:p>
    <w:p>
      <w:pPr>
        <w:pStyle w:val="NormalStyle"/>
      </w:pPr>
      <w:r>
        <w:t>Status: Akt obowiązujący </w:t>
      </w:r>
    </w:p>
    <w:p>
      <w:pPr>
        <w:pStyle w:val="NormalStyle"/>
      </w:pPr>
      <w:r>
        <w:t>Wersja od: 4 marca 2019r.  do: 31 grudnia 2019r.</w:t>
      </w:r>
    </w:p>
    <w:p>
      <w:pPr>
        <w:spacing w:after="0"/>
        <w:ind w:left="0"/>
        <w:jc w:val="left"/>
        <w:textAlignment w:val="auto"/>
      </w:pPr>
      <w:r>
        <w:br/>
      </w:r>
    </w:p>
    <w:p>
      <w:pPr>
        <w:numPr>
          <w:ilvl w:val="0"/>
          <w:numId w:val="1"/>
        </w:numPr>
        <w:spacing w:after="0"/>
        <w:ind w:left="0"/>
        <w:jc w:val="left"/>
        <w:textAlignment w:val="auto"/>
      </w:pPr>
    </w:p>
    <w:p>
      <w:pPr>
        <w:spacing w:after="0"/>
        <w:ind w:left="0"/>
        <w:jc w:val="left"/>
        <w:textAlignment w:val="auto"/>
      </w:pPr>
      <w:r>
        <w:rPr>
          <w:rFonts w:ascii="Times New Roman"/>
          <w:b/>
          <w:i w:val="false"/>
          <w:color w:val="000000"/>
          <w:sz w:val="24"/>
          <w:lang w:val="pl-Pl"/>
        </w:rPr>
        <w:t>Wejście w życie:</w:t>
      </w:r>
    </w:p>
    <w:p>
      <w:pPr>
        <w:spacing w:after="0"/>
        <w:ind w:left="0"/>
        <w:jc w:val="left"/>
        <w:textAlignment w:val="auto"/>
      </w:pPr>
      <w:r>
        <w:rPr>
          <w:rFonts w:ascii="Times New Roman"/>
          <w:b w:val="false"/>
          <w:i w:val="false"/>
          <w:color w:val="000000"/>
          <w:sz w:val="24"/>
          <w:lang w:val="pl-Pl"/>
        </w:rPr>
        <w:t>1 października 2001</w:t>
      </w:r>
      <w:r>
        <w:rPr>
          <w:rFonts w:ascii="Times New Roman"/>
          <w:b w:val="false"/>
          <w:i w:val="false"/>
          <w:color w:val="000000"/>
          <w:sz w:val="24"/>
          <w:lang w:val="pl-Pl"/>
        </w:rPr>
        <w:t xml:space="preserve"> r.</w:t>
      </w:r>
      <w:r>
        <w:rPr>
          <w:rFonts w:ascii="Times New Roman"/>
          <w:b w:val="false"/>
          <w:i w:val="false"/>
          <w:color w:val="000000"/>
          <w:sz w:val="24"/>
          <w:lang w:val="pl-Pl"/>
        </w:rPr>
        <w:t>,
</w:t>
      </w:r>
      <w:r>
        <w:rPr>
          <w:rFonts w:ascii="Times New Roman"/>
          <w:b w:val="false"/>
          <w:i w:val="false"/>
          <w:color w:val="000000"/>
          <w:sz w:val="24"/>
          <w:lang w:val="pl-Pl"/>
        </w:rPr>
        <w:t>1 stycznia 2002</w:t>
      </w:r>
      <w:r>
        <w:rPr>
          <w:rFonts w:ascii="Times New Roman"/>
          <w:b w:val="false"/>
          <w:i w:val="false"/>
          <w:color w:val="000000"/>
          <w:sz w:val="24"/>
          <w:lang w:val="pl-Pl"/>
        </w:rPr>
        <w:t xml:space="preserve"> r.</w:t>
      </w:r>
      <w:r>
        <w:rPr>
          <w:rFonts w:ascii="Times New Roman"/>
          <w:b w:val="false"/>
          <w:i w:val="false"/>
          <w:color w:val="000000"/>
          <w:sz w:val="24"/>
          <w:lang w:val="pl-Pl"/>
        </w:rPr>
        <w:t>,
</w:t>
      </w:r>
      <w:r>
        <w:rPr>
          <w:rFonts w:ascii="Times New Roman"/>
          <w:b w:val="false"/>
          <w:i w:val="false"/>
          <w:color w:val="000000"/>
          <w:sz w:val="24"/>
          <w:lang w:val="pl-Pl"/>
        </w:rPr>
        <w:t>1 stycznia 2003</w:t>
      </w:r>
      <w:r>
        <w:rPr>
          <w:rFonts w:ascii="Times New Roman"/>
          <w:b w:val="false"/>
          <w:i w:val="false"/>
          <w:color w:val="000000"/>
          <w:sz w:val="24"/>
          <w:lang w:val="pl-Pl"/>
        </w:rPr>
        <w:t xml:space="preserve"> r.</w:t>
      </w:r>
    </w:p>
    <w:p>
      <w:pPr>
        <w:spacing w:after="0"/>
        <w:ind w:left="0"/>
        <w:jc w:val="left"/>
        <w:textAlignment w:val="auto"/>
      </w:pPr>
      <w:r>
        <w:rPr>
          <w:rFonts w:ascii="Times New Roman"/>
          <w:b/>
          <w:i w:val="false"/>
          <w:color w:val="000000"/>
          <w:sz w:val="24"/>
          <w:lang w:val="pl-Pl"/>
        </w:rPr>
        <w:t>zobacz:</w:t>
      </w:r>
    </w:p>
    <w:p>
      <w:pPr>
        <w:numPr>
          <w:ilvl w:val="1"/>
          <w:numId w:val="1"/>
        </w:numPr>
        <w:spacing w:after="0"/>
        <w:ind w:left="0"/>
        <w:jc w:val="left"/>
        <w:textAlignment w:val="auto"/>
      </w:pPr>
      <w:r>
        <w:rPr>
          <w:rFonts w:ascii="Times New Roman"/>
          <w:b w:val="false"/>
          <w:i w:val="false"/>
          <w:color w:val="000000"/>
          <w:sz w:val="24"/>
          <w:lang w:val="pl-Pl"/>
        </w:rPr>
        <w:t>
art. 212
</w:t>
      </w:r>
    </w:p>
    <w:p>
      <w:pPr>
        <w:spacing w:after="0"/>
        <w:ind w:left="0"/>
        <w:jc w:val="left"/>
        <w:textAlignment w:val="auto"/>
      </w:pPr>
      <w:r>
        <w:rPr>
          <w:rFonts w:ascii="Times New Roman"/>
          <w:b w:val="false"/>
          <w:i w:val="false"/>
          <w:color w:val="000000"/>
          <w:sz w:val="24"/>
          <w:lang w:val="pl-Pl"/>
        </w:rPr>
        <w:t xml:space="preserve">Art. 212. </w:t>
      </w:r>
      <w:r>
        <w:rPr>
          <w:rFonts w:ascii="Times New Roman"/>
          <w:b w:val="false"/>
          <w:i w:val="false"/>
          <w:color w:val="000000"/>
          <w:sz w:val="24"/>
          <w:lang w:val="pl-Pl"/>
        </w:rPr>
        <w:t xml:space="preserve"> [Wejście w życie ustawy]</w:t>
      </w:r>
    </w:p>
    <w:p>
      <w:pPr>
        <w:spacing w:before="25" w:after="0"/>
        <w:ind w:left="0"/>
        <w:jc w:val="left"/>
        <w:textAlignment w:val="auto"/>
      </w:pPr>
      <w:r>
        <w:rPr>
          <w:rFonts w:ascii="Times New Roman"/>
          <w:b w:val="false"/>
          <w:i w:val="false"/>
          <w:color w:val="000000"/>
          <w:sz w:val="24"/>
          <w:lang w:val="pl-Pl"/>
        </w:rPr>
        <w:t>Ustawa wchodzi w życie z dniem 1 października 2001 r., z wyjątkiem:</w:t>
      </w:r>
    </w:p>
    <w:p>
      <w:pPr>
        <w:spacing w:after="0"/>
        <w:ind w:left="0"/>
        <w:jc w:val="left"/>
        <w:textAlignment w:val="auto"/>
      </w:pPr>
      <w:r>
        <w:rPr>
          <w:rFonts w:ascii="Times New Roman"/>
          <w:b w:val="false"/>
          <w:i w:val="false"/>
          <w:color w:val="000000"/>
          <w:sz w:val="24"/>
          <w:lang w:val="pl-Pl"/>
        </w:rPr>
        <w:t>art. 91 § 2a, art. 151 § 1, art. 178, art. 193 i art. 195 pkt 2, które wchodzą w życie z dniem 1 stycznia 2002 r.;</w:t>
      </w:r>
    </w:p>
    <w:p>
      <w:pPr>
        <w:spacing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art. 13 § 2 pkt 4, art. 91 § 2, 3 i 4, art. 176, art. 177 i art. 179 § 1-4, które wchodzą w życie z dniem 1 stycznia 2003 r.</w:t>
      </w:r>
    </w:p>
    <w:p>
      <w:pPr>
        <w:spacing w:after="0"/>
        <w:ind w:left="0"/>
        <w:jc w:val="left"/>
        <w:textAlignment w:val="auto"/>
      </w:pPr>
      <w:r>
        <w:br/>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IV </w:t>
      </w:r>
    </w:p>
    <w:p>
      <w:pPr>
        <w:spacing w:before="25" w:after="0"/>
        <w:ind w:left="0"/>
        <w:jc w:val="center"/>
        <w:textAlignment w:val="auto"/>
      </w:pPr>
      <w:r>
        <w:rPr>
          <w:rFonts w:ascii="Times New Roman"/>
          <w:b/>
          <w:i w:val="false"/>
          <w:color w:val="000000"/>
          <w:sz w:val="24"/>
          <w:lang w:val="pl-Pl"/>
        </w:rPr>
        <w:t>Referendarze sądowi, kuratorzy sądowi, pracownicy sądów, stali mediatorzy, ławnicy oraz organy pomocnicze sądów </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7 </w:t>
      </w:r>
    </w:p>
    <w:p>
      <w:pPr>
        <w:spacing w:before="25" w:after="0"/>
        <w:ind w:left="0"/>
        <w:jc w:val="center"/>
        <w:textAlignment w:val="auto"/>
      </w:pPr>
      <w:r>
        <w:rPr>
          <w:rFonts w:ascii="Times New Roman"/>
          <w:b/>
          <w:i w:val="false"/>
          <w:color w:val="000000"/>
          <w:sz w:val="24"/>
          <w:lang w:val="pl-Pl"/>
        </w:rPr>
        <w:t>Ławnicy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158. </w:t>
      </w:r>
      <w:r>
        <w:rPr>
          <w:rFonts w:ascii="Times New Roman"/>
          <w:b/>
          <w:i w:val="false"/>
          <w:color w:val="000000"/>
          <w:sz w:val="24"/>
          <w:lang w:val="pl-Pl"/>
        </w:rPr>
        <w:t xml:space="preserve"> [Wymagania na stanowisku ławnika]</w:t>
      </w:r>
      <w:r>
        <w:rPr>
          <w:rFonts w:ascii="Times New Roman"/>
          <w:b/>
          <w:i w:val="false"/>
          <w:color w:val="000000"/>
          <w:sz w:val="24"/>
          <w:lang w:val="pl-Pl"/>
        </w:rPr>
        <w:t xml:space="preserve"> </w:t>
      </w:r>
    </w:p>
    <w:p>
      <w:pPr>
        <w:spacing w:before="26" w:after="0"/>
        <w:ind w:left="0"/>
        <w:jc w:val="left"/>
        <w:textAlignment w:val="auto"/>
      </w:pPr>
    </w:p>
    <w:p>
      <w:pPr>
        <w:spacing w:after="0"/>
        <w:ind w:left="0"/>
        <w:jc w:val="left"/>
        <w:textAlignment w:val="auto"/>
      </w:pPr>
      <w:r>
        <w:rPr>
          <w:rFonts w:ascii="Times New Roman"/>
          <w:b/>
          <w:i w:val="false"/>
          <w:color w:val="000000"/>
          <w:sz w:val="24"/>
          <w:lang w:val="pl-Pl"/>
        </w:rPr>
        <w:t xml:space="preserve">§  1.  </w:t>
      </w:r>
    </w:p>
    <w:p>
      <w:pPr>
        <w:spacing w:after="0"/>
        <w:ind w:left="0"/>
        <w:jc w:val="left"/>
        <w:textAlignment w:val="auto"/>
      </w:pPr>
      <w:r>
        <w:rPr>
          <w:rFonts w:ascii="Times New Roman"/>
          <w:b w:val="false"/>
          <w:i w:val="false"/>
          <w:color w:val="000000"/>
          <w:sz w:val="24"/>
          <w:lang w:val="pl-Pl"/>
        </w:rPr>
        <w:t>Ławnikiem może być wybrany ten, kto: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posiada obywatelstwo polskie i korzysta z pełni praw cywilnych i obywatelskich;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jest nieskazitelnego charakteru;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ukończył 30 lat;</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jest zatrudniony, prowadzi działalność gospodarczą lub mieszka w miejscu kandydowania co najmniej od roku;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nie przekroczył 70 lat;</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jest zdolny, ze względu na stan zdrowia, do pełnienia obowiązków ławnika;</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posiada co najmniej wykształcenie średnie lub średnie branżowe.</w:t>
      </w:r>
    </w:p>
    <w:p>
      <w:pPr>
        <w:spacing w:before="26" w:after="0"/>
        <w:ind w:left="0"/>
        <w:jc w:val="left"/>
        <w:textAlignment w:val="auto"/>
      </w:pPr>
    </w:p>
    <w:p>
      <w:pPr>
        <w:spacing w:after="0"/>
        <w:ind w:left="0"/>
        <w:jc w:val="left"/>
        <w:textAlignment w:val="auto"/>
      </w:pPr>
      <w:r>
        <w:rPr>
          <w:rFonts w:ascii="Times New Roman"/>
          <w:b/>
          <w:i w:val="false"/>
          <w:color w:val="000000"/>
          <w:sz w:val="24"/>
          <w:lang w:val="pl-Pl"/>
        </w:rPr>
        <w:t xml:space="preserve">§  2.  </w:t>
      </w:r>
    </w:p>
    <w:p>
      <w:pPr>
        <w:spacing w:after="0"/>
        <w:ind w:left="0"/>
        <w:jc w:val="left"/>
        <w:textAlignment w:val="auto"/>
      </w:pPr>
      <w:r>
        <w:rPr>
          <w:rFonts w:ascii="Times New Roman"/>
          <w:b w:val="false"/>
          <w:i w:val="false"/>
          <w:color w:val="000000"/>
          <w:sz w:val="24"/>
          <w:lang w:val="pl-Pl"/>
        </w:rPr>
        <w:t>(uchylony).</w:t>
      </w:r>
    </w:p>
    <w:p>
      <w:pPr>
        <w:spacing w:before="26" w:after="0"/>
        <w:ind w:left="0"/>
        <w:jc w:val="left"/>
        <w:textAlignment w:val="auto"/>
      </w:pPr>
    </w:p>
    <w:p>
      <w:pPr>
        <w:spacing w:after="0"/>
        <w:ind w:left="0"/>
        <w:jc w:val="left"/>
        <w:textAlignment w:val="auto"/>
      </w:pPr>
      <w:r>
        <w:rPr>
          <w:rFonts w:ascii="Times New Roman"/>
          <w:b/>
          <w:i w:val="false"/>
          <w:color w:val="000000"/>
          <w:sz w:val="24"/>
          <w:lang w:val="pl-Pl"/>
        </w:rPr>
        <w:t xml:space="preserve">§  3.  </w:t>
      </w:r>
    </w:p>
    <w:p>
      <w:pPr>
        <w:spacing w:after="0"/>
        <w:ind w:left="0"/>
        <w:jc w:val="left"/>
        <w:textAlignment w:val="auto"/>
      </w:pPr>
      <w:r>
        <w:rPr>
          <w:rFonts w:ascii="Times New Roman"/>
          <w:b w:val="false"/>
          <w:i w:val="false"/>
          <w:color w:val="000000"/>
          <w:sz w:val="24"/>
          <w:lang w:val="pl-Pl"/>
        </w:rPr>
        <w:t>Do orzekania w sprawach z zakresu prawa pracy ławnikiem powinna być wybrana osoba wykazująca szczególną znajomość spraw pracowniczych.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159. </w:t>
      </w:r>
      <w:r>
        <w:rPr>
          <w:rFonts w:ascii="Times New Roman"/>
          <w:b/>
          <w:i w:val="false"/>
          <w:color w:val="000000"/>
          <w:sz w:val="24"/>
          <w:lang w:val="pl-Pl"/>
        </w:rPr>
        <w:t xml:space="preserve"> [Osoby niemogące być ławnikami]</w:t>
      </w:r>
      <w:r>
        <w:rPr>
          <w:rFonts w:ascii="Times New Roman"/>
          <w:b/>
          <w:i w:val="false"/>
          <w:color w:val="000000"/>
          <w:sz w:val="24"/>
          <w:lang w:val="pl-Pl"/>
        </w:rPr>
        <w:t xml:space="preserve"> </w:t>
      </w:r>
    </w:p>
    <w:p>
      <w:pPr>
        <w:spacing w:before="26" w:after="0"/>
        <w:ind w:left="0"/>
        <w:jc w:val="left"/>
        <w:textAlignment w:val="auto"/>
      </w:pPr>
    </w:p>
    <w:p>
      <w:pPr>
        <w:spacing w:after="0"/>
        <w:ind w:left="0"/>
        <w:jc w:val="left"/>
        <w:textAlignment w:val="auto"/>
      </w:pPr>
      <w:r>
        <w:rPr>
          <w:rFonts w:ascii="Times New Roman"/>
          <w:b/>
          <w:i w:val="false"/>
          <w:color w:val="000000"/>
          <w:sz w:val="24"/>
          <w:lang w:val="pl-Pl"/>
        </w:rPr>
        <w:t xml:space="preserve">§  1.  </w:t>
      </w:r>
    </w:p>
    <w:p>
      <w:pPr>
        <w:spacing w:after="0"/>
        <w:ind w:left="0"/>
        <w:jc w:val="left"/>
        <w:textAlignment w:val="auto"/>
      </w:pPr>
      <w:r>
        <w:rPr>
          <w:rFonts w:ascii="Times New Roman"/>
          <w:b w:val="false"/>
          <w:i w:val="false"/>
          <w:color w:val="000000"/>
          <w:sz w:val="24"/>
          <w:lang w:val="pl-Pl"/>
        </w:rPr>
        <w:t>Ławnikami nie mogą być: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osoby zatrudnione w sądach powszechnych i innych sądach oraz w prokuraturze;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osoby wchodzące w skład organów, od których orzeczenia można żądać skierowania sprawy na drogę postępowania sądowego;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funkcjonariusze Policji oraz inne osoby zajmujące stanowiska związane ze ściganiem przestępstw i wykroczeń;</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adwokaci i aplikanci adwokaccy;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radcy prawni i aplikanci radcowscy;</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duchowni;</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żołnierze w czynnej służbie wojskowej;</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funkcjonariusze Służby Więziennej;</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radni gminy, powiatu i województwa.</w:t>
      </w:r>
    </w:p>
    <w:p>
      <w:pPr>
        <w:spacing w:before="26" w:after="0"/>
        <w:ind w:left="0"/>
        <w:jc w:val="left"/>
        <w:textAlignment w:val="auto"/>
      </w:pPr>
    </w:p>
    <w:p>
      <w:pPr>
        <w:spacing w:after="0"/>
        <w:ind w:left="0"/>
        <w:jc w:val="left"/>
        <w:textAlignment w:val="auto"/>
      </w:pPr>
      <w:r>
        <w:rPr>
          <w:rFonts w:ascii="Times New Roman"/>
          <w:b/>
          <w:i w:val="false"/>
          <w:color w:val="000000"/>
          <w:sz w:val="24"/>
          <w:lang w:val="pl-Pl"/>
        </w:rPr>
        <w:t xml:space="preserve">§  2.  </w:t>
      </w:r>
    </w:p>
    <w:p>
      <w:pPr>
        <w:spacing w:after="0"/>
        <w:ind w:left="0"/>
        <w:jc w:val="left"/>
        <w:textAlignment w:val="auto"/>
      </w:pPr>
      <w:r>
        <w:rPr>
          <w:rFonts w:ascii="Times New Roman"/>
          <w:b w:val="false"/>
          <w:i w:val="false"/>
          <w:color w:val="000000"/>
          <w:sz w:val="24"/>
          <w:lang w:val="pl-Pl"/>
        </w:rPr>
        <w:t>Nie można być ławnikiem jednocześnie w więcej niż jednym sądzie.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160. </w:t>
      </w:r>
      <w:r>
        <w:rPr>
          <w:rFonts w:ascii="Times New Roman"/>
          <w:b/>
          <w:i w:val="false"/>
          <w:color w:val="000000"/>
          <w:sz w:val="24"/>
          <w:lang w:val="pl-Pl"/>
        </w:rPr>
        <w:t xml:space="preserve"> [Wybory ławników]</w:t>
      </w:r>
      <w:r>
        <w:rPr>
          <w:rFonts w:ascii="Times New Roman"/>
          <w:b/>
          <w:i w:val="false"/>
          <w:color w:val="000000"/>
          <w:sz w:val="24"/>
          <w:lang w:val="pl-Pl"/>
        </w:rPr>
        <w:t xml:space="preserve"> </w:t>
      </w:r>
    </w:p>
    <w:p>
      <w:pPr>
        <w:spacing w:before="26" w:after="0"/>
        <w:ind w:left="0"/>
        <w:jc w:val="left"/>
        <w:textAlignment w:val="auto"/>
      </w:pPr>
    </w:p>
    <w:p>
      <w:pPr>
        <w:spacing w:after="0"/>
        <w:ind w:left="0"/>
        <w:jc w:val="left"/>
        <w:textAlignment w:val="auto"/>
      </w:pPr>
      <w:r>
        <w:rPr>
          <w:rFonts w:ascii="Times New Roman"/>
          <w:b/>
          <w:i w:val="false"/>
          <w:color w:val="000000"/>
          <w:sz w:val="24"/>
          <w:lang w:val="pl-Pl"/>
        </w:rPr>
        <w:t xml:space="preserve">§  1.  </w:t>
      </w:r>
    </w:p>
    <w:p>
      <w:pPr>
        <w:spacing w:after="0"/>
        <w:ind w:left="0"/>
        <w:jc w:val="left"/>
        <w:textAlignment w:val="auto"/>
      </w:pPr>
      <w:r>
        <w:rPr>
          <w:rFonts w:ascii="Times New Roman"/>
          <w:b w:val="false"/>
          <w:i w:val="false"/>
          <w:color w:val="000000"/>
          <w:sz w:val="24"/>
          <w:lang w:val="pl-Pl"/>
        </w:rPr>
        <w:t>Ławników do sądów okręgowych oraz do sądów rejonowych wybierają rady gmin, których obszar jest objęty właściwością tych sądów - w głosowaniu tajnym.</w:t>
      </w:r>
    </w:p>
    <w:p>
      <w:pPr>
        <w:spacing w:before="26" w:after="0"/>
        <w:ind w:left="0"/>
        <w:jc w:val="left"/>
        <w:textAlignment w:val="auto"/>
      </w:pPr>
    </w:p>
    <w:p>
      <w:pPr>
        <w:spacing w:after="0"/>
        <w:ind w:left="0"/>
        <w:jc w:val="left"/>
        <w:textAlignment w:val="auto"/>
      </w:pPr>
      <w:r>
        <w:rPr>
          <w:rFonts w:ascii="Times New Roman"/>
          <w:b/>
          <w:i w:val="false"/>
          <w:color w:val="000000"/>
          <w:sz w:val="24"/>
          <w:lang w:val="pl-Pl"/>
        </w:rPr>
        <w:t xml:space="preserve">§  2.  </w:t>
      </w:r>
    </w:p>
    <w:p>
      <w:pPr>
        <w:spacing w:after="0"/>
        <w:ind w:left="0"/>
        <w:jc w:val="left"/>
        <w:textAlignment w:val="auto"/>
      </w:pPr>
      <w:r>
        <w:rPr>
          <w:rFonts w:ascii="Times New Roman"/>
          <w:b w:val="false"/>
          <w:i w:val="false"/>
          <w:color w:val="000000"/>
          <w:sz w:val="24"/>
          <w:lang w:val="pl-Pl"/>
        </w:rPr>
        <w:t>Wybory przygotowują gminy jako zadanie zlecone z zakresu administracji rządowej.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161. </w:t>
      </w:r>
      <w:r>
        <w:rPr>
          <w:rFonts w:ascii="Times New Roman"/>
          <w:b/>
          <w:i w:val="false"/>
          <w:color w:val="000000"/>
          <w:sz w:val="24"/>
          <w:lang w:val="pl-Pl"/>
        </w:rPr>
        <w:t xml:space="preserve"> [Ustalenie liczby ławników]</w:t>
      </w:r>
      <w:r>
        <w:rPr>
          <w:rFonts w:ascii="Times New Roman"/>
          <w:b/>
          <w:i w:val="false"/>
          <w:color w:val="000000"/>
          <w:sz w:val="24"/>
          <w:lang w:val="pl-Pl"/>
        </w:rPr>
        <w:t xml:space="preserve"> </w:t>
      </w:r>
    </w:p>
    <w:p>
      <w:pPr>
        <w:spacing w:before="26" w:after="0"/>
        <w:ind w:left="0"/>
        <w:jc w:val="left"/>
        <w:textAlignment w:val="auto"/>
      </w:pPr>
    </w:p>
    <w:p>
      <w:pPr>
        <w:spacing w:after="0"/>
        <w:ind w:left="0"/>
        <w:jc w:val="left"/>
        <w:textAlignment w:val="auto"/>
      </w:pPr>
      <w:r>
        <w:rPr>
          <w:rFonts w:ascii="Times New Roman"/>
          <w:b/>
          <w:i w:val="false"/>
          <w:color w:val="000000"/>
          <w:sz w:val="24"/>
          <w:lang w:val="pl-Pl"/>
        </w:rPr>
        <w:t xml:space="preserve">§  1.  </w:t>
      </w:r>
    </w:p>
    <w:p>
      <w:pPr>
        <w:spacing w:after="0"/>
        <w:ind w:left="0"/>
        <w:jc w:val="left"/>
        <w:textAlignment w:val="auto"/>
      </w:pPr>
      <w:r>
        <w:rPr>
          <w:rFonts w:ascii="Times New Roman"/>
          <w:b w:val="false"/>
          <w:i w:val="false"/>
          <w:color w:val="000000"/>
          <w:sz w:val="24"/>
          <w:lang w:val="pl-Pl"/>
        </w:rPr>
        <w:t>Liczbę ławników wybieranych przez poszczególne rady gmin do wszystkich sądów działających na obszarze właściwości sądu okręgowego, w tym także liczbę ławników do orzekania w sprawach z zakresu prawa pracy, ustala kolegium sądu okręgowego; liczbę ławników do poszczególnych sądów rejonowych ustala się po zasięgnięciu opinii prezesów tych sądów.</w:t>
      </w:r>
    </w:p>
    <w:p>
      <w:pPr>
        <w:spacing w:before="26" w:after="0"/>
        <w:ind w:left="0"/>
        <w:jc w:val="left"/>
        <w:textAlignment w:val="auto"/>
      </w:pPr>
    </w:p>
    <w:p>
      <w:pPr>
        <w:spacing w:after="0"/>
        <w:ind w:left="0"/>
        <w:jc w:val="left"/>
        <w:textAlignment w:val="auto"/>
      </w:pPr>
      <w:r>
        <w:rPr>
          <w:rFonts w:ascii="Times New Roman"/>
          <w:b/>
          <w:i w:val="false"/>
          <w:color w:val="000000"/>
          <w:sz w:val="24"/>
          <w:lang w:val="pl-Pl"/>
        </w:rPr>
        <w:t xml:space="preserve">§  2.  </w:t>
      </w:r>
    </w:p>
    <w:p>
      <w:pPr>
        <w:spacing w:after="0"/>
        <w:ind w:left="0"/>
        <w:jc w:val="left"/>
        <w:textAlignment w:val="auto"/>
      </w:pPr>
      <w:r>
        <w:rPr>
          <w:rFonts w:ascii="Times New Roman"/>
          <w:b w:val="false"/>
          <w:i w:val="false"/>
          <w:color w:val="000000"/>
          <w:sz w:val="24"/>
          <w:lang w:val="pl-Pl"/>
        </w:rPr>
        <w:t>Prezes sądu okręgowego podaje liczbę ławników do wiadomości poszczególnym radom gmin najpóźniej na trzydzieści dni przed upływem terminu zgłaszania kandydatów.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162. </w:t>
      </w:r>
      <w:r>
        <w:rPr>
          <w:rFonts w:ascii="Times New Roman"/>
          <w:b/>
          <w:i w:val="false"/>
          <w:color w:val="000000"/>
          <w:sz w:val="24"/>
          <w:lang w:val="pl-Pl"/>
        </w:rPr>
        <w:t xml:space="preserve"> [Zgłaszanie kandydatów na ławników]</w:t>
      </w:r>
      <w:r>
        <w:rPr>
          <w:rFonts w:ascii="Times New Roman"/>
          <w:b/>
          <w:i w:val="false"/>
          <w:color w:val="000000"/>
          <w:sz w:val="24"/>
          <w:lang w:val="pl-Pl"/>
        </w:rPr>
        <w:t xml:space="preserve"> </w:t>
      </w:r>
    </w:p>
    <w:p>
      <w:pPr>
        <w:spacing w:before="26" w:after="0"/>
        <w:ind w:left="0"/>
        <w:jc w:val="left"/>
        <w:textAlignment w:val="auto"/>
      </w:pPr>
    </w:p>
    <w:p>
      <w:pPr>
        <w:spacing w:after="0"/>
        <w:ind w:left="0"/>
        <w:jc w:val="left"/>
        <w:textAlignment w:val="auto"/>
      </w:pPr>
      <w:r>
        <w:rPr>
          <w:rFonts w:ascii="Times New Roman"/>
          <w:b/>
          <w:i w:val="false"/>
          <w:color w:val="000000"/>
          <w:sz w:val="24"/>
          <w:lang w:val="pl-Pl"/>
        </w:rPr>
        <w:t xml:space="preserve">§  1.  </w:t>
      </w:r>
    </w:p>
    <w:p>
      <w:pPr>
        <w:spacing w:after="0"/>
        <w:ind w:left="0"/>
        <w:jc w:val="left"/>
        <w:textAlignment w:val="auto"/>
      </w:pPr>
      <w:r>
        <w:rPr>
          <w:rFonts w:ascii="Times New Roman"/>
          <w:b w:val="false"/>
          <w:i w:val="false"/>
          <w:color w:val="000000"/>
          <w:sz w:val="24"/>
          <w:lang w:val="pl-Pl"/>
        </w:rPr>
        <w:t>Kandydatów na ławników mogą zgłaszać radom gmin prezesi właściwych sądów, stowarzyszenia, inne organizacje społeczne i zawodowe, zarejestrowane na podstawie przepisów prawa, z wyłączeniem partii politycznych, oraz co najmniej pięćdziesięciu obywateli mających czynne prawo wyborcze, zamieszkujących stale na terenie gminy dokonującej wyboru, w terminie do dnia 30 czerwca ostatniego roku kadencji.</w:t>
      </w:r>
    </w:p>
    <w:p>
      <w:pPr>
        <w:spacing w:before="26" w:after="0"/>
        <w:ind w:left="0"/>
        <w:jc w:val="left"/>
        <w:textAlignment w:val="auto"/>
      </w:pPr>
    </w:p>
    <w:p>
      <w:pPr>
        <w:spacing w:after="0"/>
        <w:ind w:left="0"/>
        <w:jc w:val="left"/>
        <w:textAlignment w:val="auto"/>
      </w:pPr>
      <w:r>
        <w:rPr>
          <w:rFonts w:ascii="Times New Roman"/>
          <w:b/>
          <w:i w:val="false"/>
          <w:color w:val="000000"/>
          <w:sz w:val="24"/>
          <w:lang w:val="pl-Pl"/>
        </w:rPr>
        <w:t xml:space="preserve">§  2.  </w:t>
      </w:r>
    </w:p>
    <w:p>
      <w:pPr>
        <w:spacing w:after="0"/>
        <w:ind w:left="0"/>
        <w:jc w:val="left"/>
        <w:textAlignment w:val="auto"/>
      </w:pPr>
      <w:r>
        <w:rPr>
          <w:rFonts w:ascii="Times New Roman"/>
          <w:b w:val="false"/>
          <w:i w:val="false"/>
          <w:color w:val="000000"/>
          <w:sz w:val="24"/>
          <w:lang w:val="pl-Pl"/>
        </w:rPr>
        <w:t>Do zgłoszenia kandydata na ławnika dokonanego na karcie zgłoszenia dołącza się następujące dokumenty: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informację z Krajowego Rejestru Karnego dotyczącą zgłaszanej osoby;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oświadczenie kandydata, że nie jest prowadzone przeciwko niemu postępowanie o przestępstwo ścigane z oskarżenia publicznego lub przestępstwo skarbowe;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oświadczenie kandydata, że nie jest lub nie był pozbawiony władzy rodzicielskiej, a także, że władza rodzicielska nie została mu ograniczona ani zawieszona;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zaświadczenie lekarskie o stanie zdrowia, wystawione przez lekarza podstawowej opieki zdrowotnej, w rozumieniu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27 października 2017 r. o podstawowej opiece zdrowotnej (Dz. U. poz. 2217 oraz z 2018 r. poz. 1000 i 1544), stwierdzające brak przeciwwskazań do wykonywania funkcji ławnika;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dwa zdjęcia zgodne z wymogami stosowanymi przy składaniu wniosku o wydanie dowodu osobistego.</w:t>
      </w:r>
    </w:p>
    <w:p>
      <w:pPr>
        <w:spacing w:before="26" w:after="0"/>
        <w:ind w:left="0"/>
        <w:jc w:val="left"/>
        <w:textAlignment w:val="auto"/>
      </w:pPr>
    </w:p>
    <w:p>
      <w:pPr>
        <w:spacing w:after="0"/>
        <w:ind w:left="0"/>
        <w:jc w:val="left"/>
        <w:textAlignment w:val="auto"/>
      </w:pPr>
      <w:r>
        <w:rPr>
          <w:rFonts w:ascii="Times New Roman"/>
          <w:b/>
          <w:i w:val="false"/>
          <w:color w:val="000000"/>
          <w:sz w:val="24"/>
          <w:lang w:val="pl-Pl"/>
        </w:rPr>
        <w:t xml:space="preserve">§  3.  </w:t>
      </w:r>
    </w:p>
    <w:p>
      <w:pPr>
        <w:spacing w:after="0"/>
        <w:ind w:left="0"/>
        <w:jc w:val="left"/>
        <w:textAlignment w:val="auto"/>
      </w:pPr>
      <w:r>
        <w:rPr>
          <w:rFonts w:ascii="Times New Roman"/>
          <w:b w:val="false"/>
          <w:i w:val="false"/>
          <w:color w:val="000000"/>
          <w:sz w:val="24"/>
          <w:lang w:val="pl-Pl"/>
        </w:rPr>
        <w:t>Do zgłoszenia kandydata na ławnika dokonanego na karcie zgłoszenia przez stowarzyszenie, inną organizację społeczną lub zawodową, zarejestrowaną na podstawie przepisów prawa, dołącza się również aktualny odpis z Krajowego Rejestru Sądowego albo odpis lub zaświadczenie potwierdzające wpis do innego właściwego rejestru lub ewidencji dotyczące tej organizacji.</w:t>
      </w:r>
    </w:p>
    <w:p>
      <w:pPr>
        <w:spacing w:before="26" w:after="0"/>
        <w:ind w:left="0"/>
        <w:jc w:val="left"/>
        <w:textAlignment w:val="auto"/>
      </w:pPr>
    </w:p>
    <w:p>
      <w:pPr>
        <w:spacing w:after="0"/>
        <w:ind w:left="0"/>
        <w:jc w:val="left"/>
        <w:textAlignment w:val="auto"/>
      </w:pPr>
      <w:r>
        <w:rPr>
          <w:rFonts w:ascii="Times New Roman"/>
          <w:b/>
          <w:i w:val="false"/>
          <w:color w:val="000000"/>
          <w:sz w:val="24"/>
          <w:lang w:val="pl-Pl"/>
        </w:rPr>
        <w:t xml:space="preserve">§  4.  </w:t>
      </w:r>
    </w:p>
    <w:p>
      <w:pPr>
        <w:spacing w:after="0"/>
        <w:ind w:left="0"/>
        <w:jc w:val="left"/>
        <w:textAlignment w:val="auto"/>
      </w:pPr>
      <w:r>
        <w:rPr>
          <w:rFonts w:ascii="Times New Roman"/>
          <w:b w:val="false"/>
          <w:i w:val="false"/>
          <w:color w:val="000000"/>
          <w:sz w:val="24"/>
          <w:lang w:val="pl-Pl"/>
        </w:rPr>
        <w:t>Do zgłoszenia kandydata na ławnika dokonanego na karcie zgłoszenia przez obywateli dołącza się również listę osób zawierającą imię (imiona), nazwisko, numer ewidencyjny PESEL, miejsce stałego zamieszkania i własnoręczny podpis każdej z pięćdziesięciu osób zgłaszających kandydata.</w:t>
      </w:r>
    </w:p>
    <w:p>
      <w:pPr>
        <w:spacing w:before="26" w:after="0"/>
        <w:ind w:left="0"/>
        <w:jc w:val="left"/>
        <w:textAlignment w:val="auto"/>
      </w:pPr>
    </w:p>
    <w:p>
      <w:pPr>
        <w:spacing w:after="0"/>
        <w:ind w:left="0"/>
        <w:jc w:val="left"/>
        <w:textAlignment w:val="auto"/>
      </w:pPr>
      <w:r>
        <w:rPr>
          <w:rFonts w:ascii="Times New Roman"/>
          <w:b/>
          <w:i w:val="false"/>
          <w:color w:val="000000"/>
          <w:sz w:val="24"/>
          <w:lang w:val="pl-Pl"/>
        </w:rPr>
        <w:t xml:space="preserve">§  5.  </w:t>
      </w:r>
    </w:p>
    <w:p>
      <w:pPr>
        <w:spacing w:after="0"/>
        <w:ind w:left="0"/>
        <w:jc w:val="left"/>
        <w:textAlignment w:val="auto"/>
      </w:pPr>
      <w:r>
        <w:rPr>
          <w:rFonts w:ascii="Times New Roman"/>
          <w:b w:val="false"/>
          <w:i w:val="false"/>
          <w:color w:val="000000"/>
          <w:sz w:val="24"/>
          <w:lang w:val="pl-Pl"/>
        </w:rPr>
        <w:t>Dokumenty wymienione w § 2 pkt 1-4 powinny być opatrzone datą nie wcześniejszą niż trzydzieści dni przed dniem zgłoszenia, a dokumenty wymienione w § 3 nie wcześniejszą niż trzy miesiące przed dniem zgłoszenia.</w:t>
      </w:r>
    </w:p>
    <w:p>
      <w:pPr>
        <w:spacing w:before="26" w:after="0"/>
        <w:ind w:left="0"/>
        <w:jc w:val="left"/>
        <w:textAlignment w:val="auto"/>
      </w:pPr>
    </w:p>
    <w:p>
      <w:pPr>
        <w:spacing w:after="0"/>
        <w:ind w:left="0"/>
        <w:jc w:val="left"/>
        <w:textAlignment w:val="auto"/>
      </w:pPr>
      <w:r>
        <w:rPr>
          <w:rFonts w:ascii="Times New Roman"/>
          <w:b/>
          <w:i w:val="false"/>
          <w:color w:val="000000"/>
          <w:sz w:val="24"/>
          <w:lang w:val="pl-Pl"/>
        </w:rPr>
        <w:t xml:space="preserve">§  6.  </w:t>
      </w:r>
    </w:p>
    <w:p>
      <w:pPr>
        <w:spacing w:after="0"/>
        <w:ind w:left="0"/>
        <w:jc w:val="left"/>
        <w:textAlignment w:val="auto"/>
      </w:pPr>
      <w:r>
        <w:rPr>
          <w:rFonts w:ascii="Times New Roman"/>
          <w:b w:val="false"/>
          <w:i w:val="false"/>
          <w:color w:val="000000"/>
          <w:sz w:val="24"/>
          <w:lang w:val="pl-Pl"/>
        </w:rPr>
        <w:t>Osobą uprawnioną do składania wyjaśnień w sprawie zgłoszenia kandydata na ławnika przez obywateli jest osoba, której nazwisko zostało umieszczone jako pierwsze na liście, o której mowa w § 4.</w:t>
      </w:r>
    </w:p>
    <w:p>
      <w:pPr>
        <w:spacing w:before="26" w:after="0"/>
        <w:ind w:left="0"/>
        <w:jc w:val="left"/>
        <w:textAlignment w:val="auto"/>
      </w:pPr>
    </w:p>
    <w:p>
      <w:pPr>
        <w:spacing w:after="0"/>
        <w:ind w:left="0"/>
        <w:jc w:val="left"/>
        <w:textAlignment w:val="auto"/>
      </w:pPr>
      <w:r>
        <w:rPr>
          <w:rFonts w:ascii="Times New Roman"/>
          <w:b/>
          <w:i w:val="false"/>
          <w:color w:val="000000"/>
          <w:sz w:val="24"/>
          <w:lang w:val="pl-Pl"/>
        </w:rPr>
        <w:t xml:space="preserve">§  7.  </w:t>
      </w:r>
    </w:p>
    <w:p>
      <w:pPr>
        <w:spacing w:after="0"/>
        <w:ind w:left="0"/>
        <w:jc w:val="left"/>
        <w:textAlignment w:val="auto"/>
      </w:pPr>
      <w:r>
        <w:rPr>
          <w:rFonts w:ascii="Times New Roman"/>
          <w:b w:val="false"/>
          <w:i w:val="false"/>
          <w:color w:val="000000"/>
          <w:sz w:val="24"/>
          <w:lang w:val="pl-Pl"/>
        </w:rPr>
        <w:t>Koszt opłaty za wydanie informacji z Krajowego Rejestru Karnego ponosi Skarb Państwa.</w:t>
      </w:r>
    </w:p>
    <w:p>
      <w:pPr>
        <w:spacing w:before="26" w:after="0"/>
        <w:ind w:left="0"/>
        <w:jc w:val="left"/>
        <w:textAlignment w:val="auto"/>
      </w:pPr>
    </w:p>
    <w:p>
      <w:pPr>
        <w:spacing w:after="0"/>
        <w:ind w:left="0"/>
        <w:jc w:val="left"/>
        <w:textAlignment w:val="auto"/>
      </w:pPr>
      <w:r>
        <w:rPr>
          <w:rFonts w:ascii="Times New Roman"/>
          <w:b/>
          <w:i w:val="false"/>
          <w:color w:val="000000"/>
          <w:sz w:val="24"/>
          <w:lang w:val="pl-Pl"/>
        </w:rPr>
        <w:t xml:space="preserve">§  7a.  </w:t>
      </w:r>
    </w:p>
    <w:p>
      <w:pPr>
        <w:spacing w:after="0"/>
        <w:ind w:left="0"/>
        <w:jc w:val="left"/>
        <w:textAlignment w:val="auto"/>
      </w:pPr>
      <w:r>
        <w:rPr>
          <w:rFonts w:ascii="Times New Roman"/>
          <w:b w:val="false"/>
          <w:i w:val="false"/>
          <w:color w:val="000000"/>
          <w:sz w:val="24"/>
          <w:lang w:val="pl-Pl"/>
        </w:rPr>
        <w:t>Koszt opłaty za badanie lekarskie i za wystawienie zaświadczenia lekarskiego ponosi kandydat na ławnika.</w:t>
      </w:r>
    </w:p>
    <w:p>
      <w:pPr>
        <w:spacing w:before="26" w:after="0"/>
        <w:ind w:left="0"/>
        <w:jc w:val="left"/>
        <w:textAlignment w:val="auto"/>
      </w:pPr>
    </w:p>
    <w:p>
      <w:pPr>
        <w:spacing w:after="0"/>
        <w:ind w:left="0"/>
        <w:jc w:val="left"/>
        <w:textAlignment w:val="auto"/>
      </w:pPr>
      <w:r>
        <w:rPr>
          <w:rFonts w:ascii="Times New Roman"/>
          <w:b/>
          <w:i w:val="false"/>
          <w:color w:val="000000"/>
          <w:sz w:val="24"/>
          <w:lang w:val="pl-Pl"/>
        </w:rPr>
        <w:t xml:space="preserve">§  8.  </w:t>
      </w:r>
    </w:p>
    <w:p>
      <w:pPr>
        <w:spacing w:after="0"/>
        <w:ind w:left="0"/>
        <w:jc w:val="left"/>
        <w:textAlignment w:val="auto"/>
      </w:pPr>
      <w:r>
        <w:rPr>
          <w:rFonts w:ascii="Times New Roman"/>
          <w:b w:val="false"/>
          <w:i w:val="false"/>
          <w:color w:val="000000"/>
          <w:sz w:val="24"/>
          <w:lang w:val="pl-Pl"/>
        </w:rPr>
        <w:t>Koszt opłaty za wydanie aktualnego odpisu z Krajowego Rejestru Sądowego albo odpisu lub zaświadczenia z innego właściwego rejestru lub ewidencji ponosi Skarb Państwa.</w:t>
      </w:r>
    </w:p>
    <w:p>
      <w:pPr>
        <w:spacing w:before="26" w:after="0"/>
        <w:ind w:left="0"/>
        <w:jc w:val="left"/>
        <w:textAlignment w:val="auto"/>
      </w:pPr>
    </w:p>
    <w:p>
      <w:pPr>
        <w:spacing w:after="0"/>
        <w:ind w:left="0"/>
        <w:jc w:val="left"/>
        <w:textAlignment w:val="auto"/>
      </w:pPr>
      <w:r>
        <w:rPr>
          <w:rFonts w:ascii="Times New Roman"/>
          <w:b/>
          <w:i w:val="false"/>
          <w:color w:val="000000"/>
          <w:sz w:val="24"/>
          <w:lang w:val="pl-Pl"/>
        </w:rPr>
        <w:t xml:space="preserve">§  9.  </w:t>
      </w:r>
    </w:p>
    <w:p>
      <w:pPr>
        <w:spacing w:after="0"/>
        <w:ind w:left="0"/>
        <w:jc w:val="left"/>
        <w:textAlignment w:val="auto"/>
      </w:pPr>
      <w:r>
        <w:rPr>
          <w:rFonts w:ascii="Times New Roman"/>
          <w:b w:val="false"/>
          <w:i w:val="false"/>
          <w:color w:val="000000"/>
          <w:sz w:val="24"/>
          <w:lang w:val="pl-Pl"/>
        </w:rPr>
        <w:t>Rady gmin zasięgają od komendanta wojewódzkiego Policji albo Komendanta Stołecznego Policji informacji o kandydatach na ławników. Informacje o kandydacie na ławnika uzyskuje się i sporządza na zasadach określonych dla informacji o kandydacie do objęcia stanowiska sędziowskiego.</w:t>
      </w:r>
    </w:p>
    <w:p>
      <w:pPr>
        <w:spacing w:before="26" w:after="0"/>
        <w:ind w:left="0"/>
        <w:jc w:val="left"/>
        <w:textAlignment w:val="auto"/>
      </w:pPr>
    </w:p>
    <w:p>
      <w:pPr>
        <w:spacing w:after="0"/>
        <w:ind w:left="0"/>
        <w:jc w:val="left"/>
        <w:textAlignment w:val="auto"/>
      </w:pPr>
      <w:r>
        <w:rPr>
          <w:rFonts w:ascii="Times New Roman"/>
          <w:b/>
          <w:i w:val="false"/>
          <w:color w:val="000000"/>
          <w:sz w:val="24"/>
          <w:lang w:val="pl-Pl"/>
        </w:rPr>
        <w:t xml:space="preserve">§  10.  </w:t>
      </w:r>
    </w:p>
    <w:p>
      <w:pPr>
        <w:spacing w:after="0"/>
        <w:ind w:left="0"/>
        <w:jc w:val="left"/>
        <w:textAlignment w:val="auto"/>
      </w:pPr>
      <w:r>
        <w:rPr>
          <w:rFonts w:ascii="Times New Roman"/>
          <w:b w:val="false"/>
          <w:i w:val="false"/>
          <w:color w:val="000000"/>
          <w:sz w:val="24"/>
          <w:lang w:val="pl-Pl"/>
        </w:rPr>
        <w:t>Zgłoszenia kandydatów, które wpłynęły do rady gminy po upływie terminu, o którym mowa w § 1, a także zgłoszenia, które nie spełniają wymagań formalnych, o których mowa w § 2-5, pozostawia się bez dalszego biegu. Przywrócenie terminu do zgłoszenia kandydatów jest niedopuszczalne. Pozostawienie zgłoszenia bez dalszego biegu rada gminy stwierdza w drodze uchwały.</w:t>
      </w:r>
    </w:p>
    <w:p>
      <w:pPr>
        <w:spacing w:before="26" w:after="0"/>
        <w:ind w:left="0"/>
        <w:jc w:val="left"/>
        <w:textAlignment w:val="auto"/>
      </w:pPr>
    </w:p>
    <w:p>
      <w:pPr>
        <w:spacing w:after="0"/>
        <w:ind w:left="0"/>
        <w:jc w:val="left"/>
        <w:textAlignment w:val="auto"/>
      </w:pPr>
      <w:r>
        <w:rPr>
          <w:rFonts w:ascii="Times New Roman"/>
          <w:b/>
          <w:i w:val="false"/>
          <w:color w:val="000000"/>
          <w:sz w:val="24"/>
          <w:lang w:val="pl-Pl"/>
        </w:rPr>
        <w:t xml:space="preserve">§  11.  </w:t>
      </w:r>
    </w:p>
    <w:p>
      <w:pPr>
        <w:spacing w:after="0"/>
        <w:ind w:left="0"/>
        <w:jc w:val="left"/>
        <w:textAlignment w:val="auto"/>
      </w:pPr>
      <w:r>
        <w:rPr>
          <w:rFonts w:ascii="Times New Roman"/>
          <w:b w:val="false"/>
          <w:i w:val="false"/>
          <w:color w:val="000000"/>
          <w:sz w:val="24"/>
          <w:lang w:val="pl-Pl"/>
        </w:rPr>
        <w:t>Minister Sprawiedliwości, po zasięgnięciu opinii Krajowej Rady Sądownictwa, określi, w drodze rozporządzenia, sposób postępowania z dokumentami złożonymi radom gmin przy zgłaszaniu kandydatów na ławników, wzór karty zgłoszenia oraz sposób jego udostępniania, mając na uwadze potrzebę udokumentowania przez podmioty zgłaszające spełnianie przez kandydatów na ławników wymogów określonych w ustawie, a także zapewnienia wyboru kandydatów o najwyższych walorach etycznych i intelektualnych, umożliwienia rzetelnej weryfikacji zgłoszeń i przejrzystości działań związanych ze zgłaszaniem kandydatów na ławników, a przez określenie wzoru karty zgłoszenia i sposobu jego udostępniania - potrzebę ujednolicenia procedury zgłaszania, ułatwienia dostępu do wzoru i rozpatrywania zgłoszeń.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163. </w:t>
      </w:r>
      <w:r>
        <w:rPr>
          <w:rFonts w:ascii="Times New Roman"/>
          <w:b/>
          <w:i w:val="false"/>
          <w:color w:val="000000"/>
          <w:sz w:val="24"/>
          <w:lang w:val="pl-Pl"/>
        </w:rPr>
        <w:t xml:space="preserve"> [Organizacja wyborów ławników]</w:t>
      </w:r>
      <w:r>
        <w:rPr>
          <w:rFonts w:ascii="Times New Roman"/>
          <w:b/>
          <w:i w:val="false"/>
          <w:color w:val="000000"/>
          <w:sz w:val="24"/>
          <w:lang w:val="pl-Pl"/>
        </w:rPr>
        <w:t xml:space="preserve"> </w:t>
      </w:r>
    </w:p>
    <w:p>
      <w:pPr>
        <w:spacing w:before="26" w:after="0"/>
        <w:ind w:left="0"/>
        <w:jc w:val="left"/>
        <w:textAlignment w:val="auto"/>
      </w:pPr>
    </w:p>
    <w:p>
      <w:pPr>
        <w:spacing w:after="0"/>
        <w:ind w:left="0"/>
        <w:jc w:val="left"/>
        <w:textAlignment w:val="auto"/>
      </w:pPr>
      <w:r>
        <w:rPr>
          <w:rFonts w:ascii="Times New Roman"/>
          <w:b/>
          <w:i w:val="false"/>
          <w:color w:val="000000"/>
          <w:sz w:val="24"/>
          <w:lang w:val="pl-Pl"/>
        </w:rPr>
        <w:t xml:space="preserve">§  1.  </w:t>
      </w:r>
    </w:p>
    <w:p>
      <w:pPr>
        <w:spacing w:after="0"/>
        <w:ind w:left="0"/>
        <w:jc w:val="left"/>
        <w:textAlignment w:val="auto"/>
      </w:pPr>
      <w:r>
        <w:rPr>
          <w:rFonts w:ascii="Times New Roman"/>
          <w:b w:val="false"/>
          <w:i w:val="false"/>
          <w:color w:val="000000"/>
          <w:sz w:val="24"/>
          <w:lang w:val="pl-Pl"/>
        </w:rPr>
        <w:t>Wybory ławników odbywają się najpóźniej w październiku roku kalendarzowego, w którym upływa kadencja dotychczasowych ławników.</w:t>
      </w:r>
    </w:p>
    <w:p>
      <w:pPr>
        <w:spacing w:before="26" w:after="0"/>
        <w:ind w:left="0"/>
        <w:jc w:val="left"/>
        <w:textAlignment w:val="auto"/>
      </w:pPr>
    </w:p>
    <w:p>
      <w:pPr>
        <w:spacing w:after="0"/>
        <w:ind w:left="0"/>
        <w:jc w:val="left"/>
        <w:textAlignment w:val="auto"/>
      </w:pPr>
      <w:r>
        <w:rPr>
          <w:rFonts w:ascii="Times New Roman"/>
          <w:b/>
          <w:i w:val="false"/>
          <w:color w:val="000000"/>
          <w:sz w:val="24"/>
          <w:lang w:val="pl-Pl"/>
        </w:rPr>
        <w:t xml:space="preserve">§  2.  </w:t>
      </w:r>
    </w:p>
    <w:p>
      <w:pPr>
        <w:spacing w:after="0"/>
        <w:ind w:left="0"/>
        <w:jc w:val="left"/>
        <w:textAlignment w:val="auto"/>
      </w:pPr>
      <w:r>
        <w:rPr>
          <w:rFonts w:ascii="Times New Roman"/>
          <w:b w:val="false"/>
          <w:i w:val="false"/>
          <w:color w:val="000000"/>
          <w:sz w:val="24"/>
          <w:lang w:val="pl-Pl"/>
        </w:rPr>
        <w:t>Przed przystąpieniem do wyborów rada gminy powołuje zespół, który przedstawia na sesji rady gminy swoją opinię o zgłoszonych kandydatach, w szczególności w zakresie spełnienia przez nich wymogów określonych w ustawie.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164. </w:t>
      </w:r>
      <w:r>
        <w:rPr>
          <w:rFonts w:ascii="Times New Roman"/>
          <w:b/>
          <w:i w:val="false"/>
          <w:color w:val="000000"/>
          <w:sz w:val="24"/>
          <w:lang w:val="pl-Pl"/>
        </w:rPr>
        <w:t xml:space="preserve"> [Wpis na listę ławników; ślubowanie]</w:t>
      </w:r>
      <w:r>
        <w:rPr>
          <w:rFonts w:ascii="Times New Roman"/>
          <w:b/>
          <w:i w:val="false"/>
          <w:color w:val="000000"/>
          <w:sz w:val="24"/>
          <w:lang w:val="pl-Pl"/>
        </w:rPr>
        <w:t xml:space="preserve"> </w:t>
      </w:r>
    </w:p>
    <w:p>
      <w:pPr>
        <w:spacing w:before="26" w:after="0"/>
        <w:ind w:left="0"/>
        <w:jc w:val="left"/>
        <w:textAlignment w:val="auto"/>
      </w:pPr>
    </w:p>
    <w:p>
      <w:pPr>
        <w:spacing w:after="0"/>
        <w:ind w:left="0"/>
        <w:jc w:val="left"/>
        <w:textAlignment w:val="auto"/>
      </w:pPr>
      <w:r>
        <w:rPr>
          <w:rFonts w:ascii="Times New Roman"/>
          <w:b/>
          <w:i w:val="false"/>
          <w:color w:val="000000"/>
          <w:sz w:val="24"/>
          <w:lang w:val="pl-Pl"/>
        </w:rPr>
        <w:t xml:space="preserve">§  1.  </w:t>
      </w:r>
    </w:p>
    <w:p>
      <w:pPr>
        <w:spacing w:after="0"/>
        <w:ind w:left="0"/>
        <w:jc w:val="left"/>
        <w:textAlignment w:val="auto"/>
      </w:pPr>
      <w:r>
        <w:rPr>
          <w:rFonts w:ascii="Times New Roman"/>
          <w:b w:val="false"/>
          <w:i w:val="false"/>
          <w:color w:val="000000"/>
          <w:sz w:val="24"/>
          <w:lang w:val="pl-Pl"/>
        </w:rPr>
        <w:t>Listę wybranych ławników wraz z dokumentami, o których mowa w art. 162 § 2-4, rady gmin, które dokonały ich wyboru, przesyłają prezesom właściwych sądów, najpóźniej do końca października. Spośród ławników znajdujących się na liście wybranych ławników rady gmin wskazują ławników do orzekania w sprawach z zakresu prawa pracy.</w:t>
      </w:r>
    </w:p>
    <w:p>
      <w:pPr>
        <w:spacing w:before="26" w:after="0"/>
        <w:ind w:left="0"/>
        <w:jc w:val="left"/>
        <w:textAlignment w:val="auto"/>
      </w:pPr>
    </w:p>
    <w:p>
      <w:pPr>
        <w:spacing w:after="0"/>
        <w:ind w:left="0"/>
        <w:jc w:val="left"/>
        <w:textAlignment w:val="auto"/>
      </w:pPr>
      <w:r>
        <w:rPr>
          <w:rFonts w:ascii="Times New Roman"/>
          <w:b/>
          <w:i w:val="false"/>
          <w:color w:val="000000"/>
          <w:sz w:val="24"/>
          <w:lang w:val="pl-Pl"/>
        </w:rPr>
        <w:t xml:space="preserve">§  2.  </w:t>
      </w:r>
    </w:p>
    <w:p>
      <w:pPr>
        <w:spacing w:after="0"/>
        <w:ind w:left="0"/>
        <w:jc w:val="left"/>
        <w:textAlignment w:val="auto"/>
      </w:pPr>
      <w:r>
        <w:rPr>
          <w:rFonts w:ascii="Times New Roman"/>
          <w:b w:val="false"/>
          <w:i w:val="false"/>
          <w:color w:val="000000"/>
          <w:sz w:val="24"/>
          <w:lang w:val="pl-Pl"/>
        </w:rPr>
        <w:t>Prezes sądu wręcza ławnikom zawiadomienie o wyborze i odbiera od nich ślubowanie według roty ustalonej dla sędziów, z odpowiednią zmianą.</w:t>
      </w:r>
    </w:p>
    <w:p>
      <w:pPr>
        <w:spacing w:before="26" w:after="0"/>
        <w:ind w:left="0"/>
        <w:jc w:val="left"/>
        <w:textAlignment w:val="auto"/>
      </w:pPr>
    </w:p>
    <w:p>
      <w:pPr>
        <w:spacing w:after="0"/>
        <w:ind w:left="0"/>
        <w:jc w:val="left"/>
        <w:textAlignment w:val="auto"/>
      </w:pPr>
      <w:r>
        <w:rPr>
          <w:rFonts w:ascii="Times New Roman"/>
          <w:b/>
          <w:i w:val="false"/>
          <w:color w:val="000000"/>
          <w:sz w:val="24"/>
          <w:lang w:val="pl-Pl"/>
        </w:rPr>
        <w:t xml:space="preserve">§  3.  </w:t>
      </w:r>
    </w:p>
    <w:p>
      <w:pPr>
        <w:spacing w:after="0"/>
        <w:ind w:left="0"/>
        <w:jc w:val="left"/>
        <w:textAlignment w:val="auto"/>
      </w:pPr>
      <w:r>
        <w:rPr>
          <w:rFonts w:ascii="Times New Roman"/>
          <w:b w:val="false"/>
          <w:i w:val="false"/>
          <w:color w:val="000000"/>
          <w:sz w:val="24"/>
          <w:lang w:val="pl-Pl"/>
        </w:rPr>
        <w:t>Po odebraniu ślubowania prezes sądu wpisuje ławnika na listę ławników, którzy mogą być wyznaczani do orzekania, i wydaje mu legitymację.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165. </w:t>
      </w:r>
      <w:r>
        <w:rPr>
          <w:rFonts w:ascii="Times New Roman"/>
          <w:b/>
          <w:i w:val="false"/>
          <w:color w:val="000000"/>
          <w:sz w:val="24"/>
          <w:lang w:val="pl-Pl"/>
        </w:rPr>
        <w:t xml:space="preserve"> [Kadencja ławników]</w:t>
      </w:r>
      <w:r>
        <w:rPr>
          <w:rFonts w:ascii="Times New Roman"/>
          <w:b/>
          <w:i w:val="false"/>
          <w:color w:val="000000"/>
          <w:sz w:val="24"/>
          <w:lang w:val="pl-Pl"/>
        </w:rPr>
        <w:t xml:space="preserve"> </w:t>
      </w:r>
    </w:p>
    <w:p>
      <w:pPr>
        <w:spacing w:before="26" w:after="0"/>
        <w:ind w:left="0"/>
        <w:jc w:val="left"/>
        <w:textAlignment w:val="auto"/>
      </w:pPr>
    </w:p>
    <w:p>
      <w:pPr>
        <w:spacing w:after="0"/>
        <w:ind w:left="0"/>
        <w:jc w:val="left"/>
        <w:textAlignment w:val="auto"/>
      </w:pPr>
      <w:r>
        <w:rPr>
          <w:rFonts w:ascii="Times New Roman"/>
          <w:b/>
          <w:i w:val="false"/>
          <w:color w:val="000000"/>
          <w:sz w:val="24"/>
          <w:lang w:val="pl-Pl"/>
        </w:rPr>
        <w:t xml:space="preserve">§  1.  </w:t>
      </w:r>
    </w:p>
    <w:p>
      <w:pPr>
        <w:spacing w:after="0"/>
        <w:ind w:left="0"/>
        <w:jc w:val="left"/>
        <w:textAlignment w:val="auto"/>
      </w:pPr>
      <w:r>
        <w:rPr>
          <w:rFonts w:ascii="Times New Roman"/>
          <w:b w:val="false"/>
          <w:i w:val="false"/>
          <w:color w:val="000000"/>
          <w:sz w:val="24"/>
          <w:lang w:val="pl-Pl"/>
        </w:rPr>
        <w:t>Kadencja ławników sądów okręgowych i rejonowych trwa cztery lata kalendarzowe następujące po roku, w którym dokonano wyborów, jednak mandat ławnika wybranego dodatkowo wygasa z upływem kadencji ogółu ławników.</w:t>
      </w:r>
    </w:p>
    <w:p>
      <w:pPr>
        <w:spacing w:before="26" w:after="0"/>
        <w:ind w:left="0"/>
        <w:jc w:val="left"/>
        <w:textAlignment w:val="auto"/>
      </w:pPr>
    </w:p>
    <w:p>
      <w:pPr>
        <w:spacing w:after="0"/>
        <w:ind w:left="0"/>
        <w:jc w:val="left"/>
        <w:textAlignment w:val="auto"/>
      </w:pPr>
      <w:r>
        <w:rPr>
          <w:rFonts w:ascii="Times New Roman"/>
          <w:b/>
          <w:i w:val="false"/>
          <w:color w:val="000000"/>
          <w:sz w:val="24"/>
          <w:lang w:val="pl-Pl"/>
        </w:rPr>
        <w:t xml:space="preserve">§  2.  </w:t>
      </w:r>
    </w:p>
    <w:p>
      <w:pPr>
        <w:spacing w:after="0"/>
        <w:ind w:left="0"/>
        <w:jc w:val="left"/>
        <w:textAlignment w:val="auto"/>
      </w:pPr>
      <w:r>
        <w:rPr>
          <w:rFonts w:ascii="Times New Roman"/>
          <w:b w:val="false"/>
          <w:i w:val="false"/>
          <w:color w:val="000000"/>
          <w:sz w:val="24"/>
          <w:lang w:val="pl-Pl"/>
        </w:rPr>
        <w:t>Po upływie kadencji ławnik może brać udział jedynie w rozpoznawaniu sprawy rozpoczętej wcześniej z jego udziałem, do czasu jej zakończenia.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166. </w:t>
      </w:r>
      <w:r>
        <w:rPr>
          <w:rFonts w:ascii="Times New Roman"/>
          <w:b/>
          <w:i w:val="false"/>
          <w:color w:val="000000"/>
          <w:sz w:val="24"/>
          <w:lang w:val="pl-Pl"/>
        </w:rPr>
        <w:t xml:space="preserve"> [Wygaśnięcie mandatu ławnika; odwołanie ławnika]</w:t>
      </w:r>
      <w:r>
        <w:rPr>
          <w:rFonts w:ascii="Times New Roman"/>
          <w:b/>
          <w:i w:val="false"/>
          <w:color w:val="000000"/>
          <w:sz w:val="24"/>
          <w:lang w:val="pl-Pl"/>
        </w:rPr>
        <w:t xml:space="preserve"> </w:t>
      </w:r>
    </w:p>
    <w:p>
      <w:pPr>
        <w:spacing w:before="26" w:after="0"/>
        <w:ind w:left="0"/>
        <w:jc w:val="left"/>
        <w:textAlignment w:val="auto"/>
      </w:pPr>
    </w:p>
    <w:p>
      <w:pPr>
        <w:spacing w:after="0"/>
        <w:ind w:left="0"/>
        <w:jc w:val="left"/>
        <w:textAlignment w:val="auto"/>
      </w:pPr>
      <w:r>
        <w:rPr>
          <w:rFonts w:ascii="Times New Roman"/>
          <w:b/>
          <w:i w:val="false"/>
          <w:color w:val="000000"/>
          <w:sz w:val="24"/>
          <w:lang w:val="pl-Pl"/>
        </w:rPr>
        <w:t xml:space="preserve">§  1.  </w:t>
      </w:r>
    </w:p>
    <w:p>
      <w:pPr>
        <w:spacing w:after="0"/>
        <w:ind w:left="0"/>
        <w:jc w:val="left"/>
        <w:textAlignment w:val="auto"/>
      </w:pPr>
      <w:r>
        <w:rPr>
          <w:rFonts w:ascii="Times New Roman"/>
          <w:b w:val="false"/>
          <w:i w:val="false"/>
          <w:color w:val="000000"/>
          <w:sz w:val="24"/>
          <w:lang w:val="pl-Pl"/>
        </w:rPr>
        <w:t>Mandat ławnika wygasa w razie prawomocnego skazania za przestępstwo bądź wykroczenie, w tym również za przestępstwo lub wykroczenie skarbowe. Rada gminy, która wybrała ławnika, stwierdza wygaśnięcie mandatu z tego powodu i informuje o tym prezesa właściwego sądu.</w:t>
      </w:r>
    </w:p>
    <w:p>
      <w:pPr>
        <w:spacing w:before="26" w:after="0"/>
        <w:ind w:left="0"/>
        <w:jc w:val="left"/>
        <w:textAlignment w:val="auto"/>
      </w:pPr>
    </w:p>
    <w:p>
      <w:pPr>
        <w:spacing w:after="0"/>
        <w:ind w:left="0"/>
        <w:jc w:val="left"/>
        <w:textAlignment w:val="auto"/>
      </w:pPr>
      <w:r>
        <w:rPr>
          <w:rFonts w:ascii="Times New Roman"/>
          <w:b/>
          <w:i w:val="false"/>
          <w:color w:val="000000"/>
          <w:sz w:val="24"/>
          <w:lang w:val="pl-Pl"/>
        </w:rPr>
        <w:t xml:space="preserve">§  2.  </w:t>
      </w:r>
    </w:p>
    <w:p>
      <w:pPr>
        <w:spacing w:after="0"/>
        <w:ind w:left="0"/>
        <w:jc w:val="left"/>
        <w:textAlignment w:val="auto"/>
      </w:pPr>
      <w:r>
        <w:rPr>
          <w:rFonts w:ascii="Times New Roman"/>
          <w:b w:val="false"/>
          <w:i w:val="false"/>
          <w:color w:val="000000"/>
          <w:sz w:val="24"/>
          <w:lang w:val="pl-Pl"/>
        </w:rPr>
        <w:t>Rada gminy, która wybrała ławnika, może go odwołać na wniosek prezesa właściwego sądu, w razie: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niewykonywania obowiązków ławnika;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zachowania godzącego w powagę sądu;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niezdolności do wykonywania obowiązków ławnika.</w:t>
      </w:r>
    </w:p>
    <w:p>
      <w:pPr>
        <w:spacing w:before="26" w:after="0"/>
        <w:ind w:left="0"/>
        <w:jc w:val="left"/>
        <w:textAlignment w:val="auto"/>
      </w:pPr>
    </w:p>
    <w:p>
      <w:pPr>
        <w:spacing w:after="0"/>
        <w:ind w:left="0"/>
        <w:jc w:val="left"/>
        <w:textAlignment w:val="auto"/>
      </w:pPr>
      <w:r>
        <w:rPr>
          <w:rFonts w:ascii="Times New Roman"/>
          <w:b/>
          <w:i w:val="false"/>
          <w:color w:val="000000"/>
          <w:sz w:val="24"/>
          <w:lang w:val="pl-Pl"/>
        </w:rPr>
        <w:t xml:space="preserve">§  2a.  </w:t>
      </w:r>
    </w:p>
    <w:p>
      <w:pPr>
        <w:spacing w:after="0"/>
        <w:ind w:left="0"/>
        <w:jc w:val="left"/>
        <w:textAlignment w:val="auto"/>
      </w:pPr>
      <w:r>
        <w:rPr>
          <w:rFonts w:ascii="Times New Roman"/>
          <w:b w:val="false"/>
          <w:i w:val="false"/>
          <w:color w:val="000000"/>
          <w:sz w:val="24"/>
          <w:lang w:val="pl-Pl"/>
        </w:rPr>
        <w:t>Wniosek, o którym mowa w § 2, jest składany łącznie z opiniami właściwej rady ławniczej oraz kolegium właściwego sądu okręgowego albo z oświadczeniem prezesa właściwego sądu, że taka opinia lub takie opinie nie zostały wydane w terminie 21 dni od dnia doręczenia wniosku do zaopiniowania. W przypadku braku opinii prezes właściwego sądu przedkłada radzie gminy wraz z wnioskiem potwierdzenie jego doręczenia podmiotowi uprawnionemu do wydania opinii. Niewydanie opinii w terminie uważa się za niezgłoszenie uwag do wniosku. Przepis art. 31 § 2 stosuje się odpowiednio.</w:t>
      </w:r>
    </w:p>
    <w:p>
      <w:pPr>
        <w:spacing w:before="26" w:after="0"/>
        <w:ind w:left="0"/>
        <w:jc w:val="left"/>
        <w:textAlignment w:val="auto"/>
      </w:pPr>
    </w:p>
    <w:p>
      <w:pPr>
        <w:spacing w:after="0"/>
        <w:ind w:left="0"/>
        <w:jc w:val="left"/>
        <w:textAlignment w:val="auto"/>
      </w:pPr>
      <w:r>
        <w:rPr>
          <w:rFonts w:ascii="Times New Roman"/>
          <w:b/>
          <w:i w:val="false"/>
          <w:color w:val="000000"/>
          <w:sz w:val="24"/>
          <w:lang w:val="pl-Pl"/>
        </w:rPr>
        <w:t xml:space="preserve">§  2b.  </w:t>
      </w:r>
    </w:p>
    <w:p>
      <w:pPr>
        <w:spacing w:after="0"/>
        <w:ind w:left="0"/>
        <w:jc w:val="left"/>
        <w:textAlignment w:val="auto"/>
      </w:pPr>
      <w:r>
        <w:rPr>
          <w:rFonts w:ascii="Times New Roman"/>
          <w:b w:val="false"/>
          <w:i w:val="false"/>
          <w:color w:val="000000"/>
          <w:sz w:val="24"/>
          <w:lang w:val="pl-Pl"/>
        </w:rPr>
        <w:t>Przed podjęciem uchwały w sprawie wniosku o odwołanie ławnika przewodniczący rady gminy umożliwia wysłuchanie ławnika i jego udział w posiedzeniu właściwej komisji i w sesji rady gminy, na których taki wniosek będzie opiniowany i rozpoznawany. O terminach posiedzenia komisji i sesji rady gminy ławnik jest powiadamiany na piśmie, co najmniej z siedmiodniowym wyprzedzeniem, w trybie i w sposób przewidziany w Kodeksie postępowania administracyjnego.</w:t>
      </w:r>
    </w:p>
    <w:p>
      <w:pPr>
        <w:spacing w:before="26" w:after="0"/>
        <w:ind w:left="0"/>
        <w:jc w:val="left"/>
        <w:textAlignment w:val="auto"/>
      </w:pPr>
    </w:p>
    <w:p>
      <w:pPr>
        <w:spacing w:after="0"/>
        <w:ind w:left="0"/>
        <w:jc w:val="left"/>
        <w:textAlignment w:val="auto"/>
      </w:pPr>
      <w:r>
        <w:rPr>
          <w:rFonts w:ascii="Times New Roman"/>
          <w:b/>
          <w:i w:val="false"/>
          <w:color w:val="000000"/>
          <w:sz w:val="24"/>
          <w:lang w:val="pl-Pl"/>
        </w:rPr>
        <w:t xml:space="preserve">§  2c.  </w:t>
      </w:r>
    </w:p>
    <w:p>
      <w:pPr>
        <w:spacing w:after="0"/>
        <w:ind w:left="0"/>
        <w:jc w:val="left"/>
        <w:textAlignment w:val="auto"/>
      </w:pPr>
      <w:r>
        <w:rPr>
          <w:rFonts w:ascii="Times New Roman"/>
          <w:b w:val="false"/>
          <w:i w:val="false"/>
          <w:color w:val="000000"/>
          <w:sz w:val="24"/>
          <w:lang w:val="pl-Pl"/>
        </w:rPr>
        <w:t>W sprawach, o których mowa w § 2b, ławnik działa osobiście, a w razie niemożności osobistego stawiennictwa może działać przez pełnomocnika.</w:t>
      </w:r>
    </w:p>
    <w:p>
      <w:pPr>
        <w:spacing w:before="26" w:after="0"/>
        <w:ind w:left="0"/>
        <w:jc w:val="left"/>
        <w:textAlignment w:val="auto"/>
      </w:pPr>
    </w:p>
    <w:p>
      <w:pPr>
        <w:spacing w:after="0"/>
        <w:ind w:left="0"/>
        <w:jc w:val="left"/>
        <w:textAlignment w:val="auto"/>
      </w:pPr>
      <w:r>
        <w:rPr>
          <w:rFonts w:ascii="Times New Roman"/>
          <w:b/>
          <w:i w:val="false"/>
          <w:color w:val="000000"/>
          <w:sz w:val="24"/>
          <w:lang w:val="pl-Pl"/>
        </w:rPr>
        <w:t xml:space="preserve">§  3.  </w:t>
      </w:r>
    </w:p>
    <w:p>
      <w:pPr>
        <w:spacing w:after="0"/>
        <w:ind w:left="0"/>
        <w:jc w:val="left"/>
        <w:textAlignment w:val="auto"/>
      </w:pPr>
      <w:r>
        <w:rPr>
          <w:rFonts w:ascii="Times New Roman"/>
          <w:b w:val="false"/>
          <w:i w:val="false"/>
          <w:color w:val="000000"/>
          <w:sz w:val="24"/>
          <w:lang w:val="pl-Pl"/>
        </w:rPr>
        <w:t>Przed upływem kadencji mandat ławnika wygasa z dniem doręczenia mu zawiadomienia prezesa sądu o skreśleniu z listy ławników wskutek zrzeczenia się mandatu z ważnych przyczyn lub odwołania ławnika przez radę gminy.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167. </w:t>
      </w:r>
      <w:r>
        <w:rPr>
          <w:rFonts w:ascii="Times New Roman"/>
          <w:b/>
          <w:i w:val="false"/>
          <w:color w:val="000000"/>
          <w:sz w:val="24"/>
          <w:lang w:val="pl-Pl"/>
        </w:rPr>
        <w:t xml:space="preserve"> [Okoliczności wyłączające powołanie ławnika do pełnienia obowiązków]</w:t>
      </w:r>
      <w:r>
        <w:rPr>
          <w:rFonts w:ascii="Times New Roman"/>
          <w:b/>
          <w:i w:val="false"/>
          <w:color w:val="000000"/>
          <w:sz w:val="24"/>
          <w:lang w:val="pl-Pl"/>
        </w:rPr>
        <w:t xml:space="preserve"> </w:t>
      </w:r>
    </w:p>
    <w:p>
      <w:pPr>
        <w:spacing w:before="26" w:after="0"/>
        <w:ind w:left="0"/>
        <w:jc w:val="left"/>
        <w:textAlignment w:val="auto"/>
      </w:pPr>
    </w:p>
    <w:p>
      <w:pPr>
        <w:spacing w:after="0"/>
        <w:ind w:left="0"/>
        <w:jc w:val="left"/>
        <w:textAlignment w:val="auto"/>
      </w:pPr>
      <w:r>
        <w:rPr>
          <w:rFonts w:ascii="Times New Roman"/>
          <w:b/>
          <w:i w:val="false"/>
          <w:color w:val="000000"/>
          <w:sz w:val="24"/>
          <w:lang w:val="pl-Pl"/>
        </w:rPr>
        <w:t xml:space="preserve">§  1.  </w:t>
      </w:r>
    </w:p>
    <w:p>
      <w:pPr>
        <w:spacing w:after="0"/>
        <w:ind w:left="0"/>
        <w:jc w:val="left"/>
        <w:textAlignment w:val="auto"/>
      </w:pPr>
      <w:r>
        <w:rPr>
          <w:rFonts w:ascii="Times New Roman"/>
          <w:b w:val="false"/>
          <w:i w:val="false"/>
          <w:color w:val="000000"/>
          <w:sz w:val="24"/>
          <w:lang w:val="pl-Pl"/>
        </w:rPr>
        <w:t>W czasie trwania kadencji nie powołuje się ławnika do pełnienia obowiązków w przypadku: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ujawnienia okoliczności, które nie pozwalały na jego wybór;</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wszczęcia postępowania o odwołanie ławnika - do czasu podjęcia przez radę gminy uchwały w przedmiocie odwołania;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wszczęcia przeciwko ławnikowi postępowania o przestępstwo ścigane z oskarżenia publicznego lub przestępstwo skarbowe - do czasu prawomocnego rozstrzygnięcia sprawy.</w:t>
      </w:r>
    </w:p>
    <w:p>
      <w:pPr>
        <w:spacing w:before="26" w:after="0"/>
        <w:ind w:left="0"/>
        <w:jc w:val="left"/>
        <w:textAlignment w:val="auto"/>
      </w:pPr>
    </w:p>
    <w:p>
      <w:pPr>
        <w:spacing w:after="0"/>
        <w:ind w:left="0"/>
        <w:jc w:val="left"/>
        <w:textAlignment w:val="auto"/>
      </w:pPr>
      <w:r>
        <w:rPr>
          <w:rFonts w:ascii="Times New Roman"/>
          <w:b/>
          <w:i w:val="false"/>
          <w:color w:val="000000"/>
          <w:sz w:val="24"/>
          <w:lang w:val="pl-Pl"/>
        </w:rPr>
        <w:t xml:space="preserve">§  2.  </w:t>
      </w:r>
    </w:p>
    <w:p>
      <w:pPr>
        <w:spacing w:after="0"/>
        <w:ind w:left="0"/>
        <w:jc w:val="left"/>
        <w:textAlignment w:val="auto"/>
      </w:pPr>
      <w:r>
        <w:rPr>
          <w:rFonts w:ascii="Times New Roman"/>
          <w:b w:val="false"/>
          <w:i w:val="false"/>
          <w:color w:val="000000"/>
          <w:sz w:val="24"/>
          <w:lang w:val="pl-Pl"/>
        </w:rPr>
        <w:t>W razie zniesienia sądu, ośrodka zamiejscowego lub wydziału zamiejscowego - ławnicy tych jednostek stają się ławnikami sądów, które przejmują kompetencje zniesionych jednostek.</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168. </w:t>
      </w:r>
      <w:r>
        <w:rPr>
          <w:rFonts w:ascii="Times New Roman"/>
          <w:b/>
          <w:i w:val="false"/>
          <w:color w:val="000000"/>
          <w:sz w:val="24"/>
          <w:lang w:val="pl-Pl"/>
        </w:rPr>
        <w:t xml:space="preserve"> [Uzupełnienie listy ławników]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razie potrzeby, zwłaszcza z powodu zmniejszenia się w czasie kadencji liczby ławników, rada gminy na wniosek prezesa sądu okręgowego dokonuje uzupełnienia listy, wybierając nowych ławników w sposób określony w ustawie.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169. </w:t>
      </w:r>
      <w:r>
        <w:rPr>
          <w:rFonts w:ascii="Times New Roman"/>
          <w:b/>
          <w:i w:val="false"/>
          <w:color w:val="000000"/>
          <w:sz w:val="24"/>
          <w:lang w:val="pl-Pl"/>
        </w:rPr>
        <w:t xml:space="preserve"> [Niezawisłość ławników]</w:t>
      </w:r>
      <w:r>
        <w:rPr>
          <w:rFonts w:ascii="Times New Roman"/>
          <w:b/>
          <w:i w:val="false"/>
          <w:color w:val="000000"/>
          <w:sz w:val="24"/>
          <w:lang w:val="pl-Pl"/>
        </w:rPr>
        <w:t xml:space="preserve"> </w:t>
      </w:r>
    </w:p>
    <w:p>
      <w:pPr>
        <w:spacing w:before="26" w:after="0"/>
        <w:ind w:left="0"/>
        <w:jc w:val="left"/>
        <w:textAlignment w:val="auto"/>
      </w:pPr>
    </w:p>
    <w:p>
      <w:pPr>
        <w:spacing w:after="0"/>
        <w:ind w:left="0"/>
        <w:jc w:val="left"/>
        <w:textAlignment w:val="auto"/>
      </w:pPr>
      <w:r>
        <w:rPr>
          <w:rFonts w:ascii="Times New Roman"/>
          <w:b/>
          <w:i w:val="false"/>
          <w:color w:val="000000"/>
          <w:sz w:val="24"/>
          <w:lang w:val="pl-Pl"/>
        </w:rPr>
        <w:t xml:space="preserve">§  1.  </w:t>
      </w:r>
    </w:p>
    <w:p>
      <w:pPr>
        <w:spacing w:after="0"/>
        <w:ind w:left="0"/>
        <w:jc w:val="left"/>
        <w:textAlignment w:val="auto"/>
      </w:pPr>
      <w:r>
        <w:rPr>
          <w:rFonts w:ascii="Times New Roman"/>
          <w:b w:val="false"/>
          <w:i w:val="false"/>
          <w:color w:val="000000"/>
          <w:sz w:val="24"/>
          <w:lang w:val="pl-Pl"/>
        </w:rPr>
        <w:t xml:space="preserve">W zakresie orzekania ławnicy są niezawiśli i podlegają tylko </w:t>
      </w:r>
      <w:r>
        <w:rPr>
          <w:rFonts w:ascii="Times New Roman"/>
          <w:b w:val="false"/>
          <w:i w:val="false"/>
          <w:color w:val="1b1b1b"/>
          <w:sz w:val="24"/>
          <w:lang w:val="pl-Pl"/>
        </w:rPr>
        <w:t>Konstytucji</w:t>
      </w:r>
      <w:r>
        <w:rPr>
          <w:rFonts w:ascii="Times New Roman"/>
          <w:b w:val="false"/>
          <w:i w:val="false"/>
          <w:color w:val="000000"/>
          <w:sz w:val="24"/>
          <w:lang w:val="pl-Pl"/>
        </w:rPr>
        <w:t xml:space="preserve"> oraz ustawom.</w:t>
      </w:r>
    </w:p>
    <w:p>
      <w:pPr>
        <w:spacing w:before="26" w:after="0"/>
        <w:ind w:left="0"/>
        <w:jc w:val="left"/>
        <w:textAlignment w:val="auto"/>
      </w:pPr>
    </w:p>
    <w:p>
      <w:pPr>
        <w:spacing w:after="0"/>
        <w:ind w:left="0"/>
        <w:jc w:val="left"/>
        <w:textAlignment w:val="auto"/>
      </w:pPr>
      <w:r>
        <w:rPr>
          <w:rFonts w:ascii="Times New Roman"/>
          <w:b/>
          <w:i w:val="false"/>
          <w:color w:val="000000"/>
          <w:sz w:val="24"/>
          <w:lang w:val="pl-Pl"/>
        </w:rPr>
        <w:t xml:space="preserve">§  2.  </w:t>
      </w:r>
    </w:p>
    <w:p>
      <w:pPr>
        <w:spacing w:after="0"/>
        <w:ind w:left="0"/>
        <w:jc w:val="left"/>
        <w:textAlignment w:val="auto"/>
      </w:pPr>
      <w:r>
        <w:rPr>
          <w:rFonts w:ascii="Times New Roman"/>
          <w:b w:val="false"/>
          <w:i w:val="false"/>
          <w:color w:val="000000"/>
          <w:sz w:val="24"/>
          <w:lang w:val="pl-Pl"/>
        </w:rPr>
        <w:t>Ławnik nie może przewodniczyć na rozprawie i naradzie ani też wykonywać czynności sędziego poza rozprawą, chyba że ustawy stanowią inaczej.</w:t>
      </w:r>
    </w:p>
    <w:p>
      <w:pPr>
        <w:spacing w:before="26" w:after="0"/>
        <w:ind w:left="0"/>
        <w:jc w:val="left"/>
        <w:textAlignment w:val="auto"/>
      </w:pPr>
    </w:p>
    <w:p>
      <w:pPr>
        <w:spacing w:after="0"/>
        <w:ind w:left="0"/>
        <w:jc w:val="left"/>
        <w:textAlignment w:val="auto"/>
      </w:pPr>
      <w:r>
        <w:rPr>
          <w:rFonts w:ascii="Times New Roman"/>
          <w:b/>
          <w:i w:val="false"/>
          <w:color w:val="000000"/>
          <w:sz w:val="24"/>
          <w:lang w:val="pl-Pl"/>
        </w:rPr>
        <w:t xml:space="preserve">§  3.  </w:t>
      </w:r>
    </w:p>
    <w:p>
      <w:pPr>
        <w:spacing w:after="0"/>
        <w:ind w:left="0"/>
        <w:jc w:val="left"/>
        <w:textAlignment w:val="auto"/>
      </w:pPr>
      <w:r>
        <w:rPr>
          <w:rFonts w:ascii="Times New Roman"/>
          <w:b w:val="false"/>
          <w:i w:val="false"/>
          <w:color w:val="000000"/>
          <w:sz w:val="24"/>
          <w:lang w:val="pl-Pl"/>
        </w:rPr>
        <w:t>Do ławników przepis art. 85 § 4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170. </w:t>
      </w:r>
      <w:r>
        <w:rPr>
          <w:rFonts w:ascii="Times New Roman"/>
          <w:b/>
          <w:i w:val="false"/>
          <w:color w:val="000000"/>
          <w:sz w:val="24"/>
          <w:lang w:val="pl-Pl"/>
        </w:rPr>
        <w:t xml:space="preserve"> [Wyznaczenie ławnika do udziału w rozprawie]</w:t>
      </w:r>
      <w:r>
        <w:rPr>
          <w:rFonts w:ascii="Times New Roman"/>
          <w:b/>
          <w:i w:val="false"/>
          <w:color w:val="000000"/>
          <w:sz w:val="24"/>
          <w:lang w:val="pl-Pl"/>
        </w:rPr>
        <w:t xml:space="preserve"> </w:t>
      </w:r>
    </w:p>
    <w:p>
      <w:pPr>
        <w:spacing w:before="26" w:after="0"/>
        <w:ind w:left="0"/>
        <w:jc w:val="left"/>
        <w:textAlignment w:val="auto"/>
      </w:pPr>
    </w:p>
    <w:p>
      <w:pPr>
        <w:spacing w:after="0"/>
        <w:ind w:left="0"/>
        <w:jc w:val="left"/>
        <w:textAlignment w:val="auto"/>
      </w:pPr>
      <w:r>
        <w:rPr>
          <w:rFonts w:ascii="Times New Roman"/>
          <w:b/>
          <w:i w:val="false"/>
          <w:color w:val="000000"/>
          <w:sz w:val="24"/>
          <w:lang w:val="pl-Pl"/>
        </w:rPr>
        <w:t xml:space="preserve">§  1.  </w:t>
      </w:r>
    </w:p>
    <w:p>
      <w:pPr>
        <w:spacing w:after="0"/>
        <w:ind w:left="0"/>
        <w:jc w:val="left"/>
        <w:textAlignment w:val="auto"/>
      </w:pPr>
      <w:r>
        <w:rPr>
          <w:rFonts w:ascii="Times New Roman"/>
          <w:b w:val="false"/>
          <w:i w:val="false"/>
          <w:color w:val="000000"/>
          <w:sz w:val="24"/>
          <w:lang w:val="pl-Pl"/>
        </w:rPr>
        <w:t>Ławnik może zostać wyznaczony do udziału w rozprawach do dwunastu dni w ciągu roku. Liczba tych dni może być zwiększona przez prezesa sądu tylko z ważnych przyczyn, a zwłaszcza w przypadku konieczności zakończenia rozprawy z udziałem tego ławnika.</w:t>
      </w:r>
    </w:p>
    <w:p>
      <w:pPr>
        <w:spacing w:before="26" w:after="0"/>
        <w:ind w:left="0"/>
        <w:jc w:val="left"/>
        <w:textAlignment w:val="auto"/>
      </w:pPr>
    </w:p>
    <w:p>
      <w:pPr>
        <w:spacing w:after="0"/>
        <w:ind w:left="0"/>
        <w:jc w:val="left"/>
        <w:textAlignment w:val="auto"/>
      </w:pPr>
      <w:r>
        <w:rPr>
          <w:rFonts w:ascii="Times New Roman"/>
          <w:b/>
          <w:i w:val="false"/>
          <w:color w:val="000000"/>
          <w:sz w:val="24"/>
          <w:lang w:val="pl-Pl"/>
        </w:rPr>
        <w:t xml:space="preserve">§  2.  </w:t>
      </w:r>
    </w:p>
    <w:p>
      <w:pPr>
        <w:spacing w:after="0"/>
        <w:ind w:left="0"/>
        <w:jc w:val="left"/>
        <w:textAlignment w:val="auto"/>
      </w:pPr>
      <w:r>
        <w:rPr>
          <w:rFonts w:ascii="Times New Roman"/>
          <w:b w:val="false"/>
          <w:i w:val="false"/>
          <w:color w:val="000000"/>
          <w:sz w:val="24"/>
          <w:lang w:val="pl-Pl"/>
        </w:rPr>
        <w:t>(uchylony).</w:t>
      </w:r>
    </w:p>
    <w:p>
      <w:pPr>
        <w:spacing w:before="26" w:after="0"/>
        <w:ind w:left="0"/>
        <w:jc w:val="left"/>
        <w:textAlignment w:val="auto"/>
      </w:pPr>
    </w:p>
    <w:p>
      <w:pPr>
        <w:spacing w:after="0"/>
        <w:ind w:left="0"/>
        <w:jc w:val="left"/>
        <w:textAlignment w:val="auto"/>
      </w:pPr>
      <w:r>
        <w:rPr>
          <w:rFonts w:ascii="Times New Roman"/>
          <w:b/>
          <w:i w:val="false"/>
          <w:color w:val="000000"/>
          <w:sz w:val="24"/>
          <w:lang w:val="pl-Pl"/>
        </w:rPr>
        <w:t xml:space="preserve">§  3.  </w:t>
      </w:r>
    </w:p>
    <w:p>
      <w:pPr>
        <w:spacing w:after="0"/>
        <w:ind w:left="0"/>
        <w:jc w:val="left"/>
        <w:textAlignment w:val="auto"/>
      </w:pPr>
      <w:r>
        <w:rPr>
          <w:rFonts w:ascii="Times New Roman"/>
          <w:b w:val="false"/>
          <w:i w:val="false"/>
          <w:color w:val="000000"/>
          <w:sz w:val="24"/>
          <w:lang w:val="pl-Pl"/>
        </w:rPr>
        <w:t>Wyznaczając ławnika do udziału w rozprawie, zawiadamia się o tym jednocześnie pracodawcę zatrudniającego ławnika.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171. </w:t>
      </w:r>
      <w:r>
        <w:rPr>
          <w:rFonts w:ascii="Times New Roman"/>
          <w:b/>
          <w:i w:val="false"/>
          <w:color w:val="000000"/>
          <w:sz w:val="24"/>
          <w:lang w:val="pl-Pl"/>
        </w:rPr>
        <w:t xml:space="preserve"> [Przydzielenie dodatkowego ławnika do sprawy]</w:t>
      </w:r>
      <w:r>
        <w:rPr>
          <w:rFonts w:ascii="Times New Roman"/>
          <w:b/>
          <w:i w:val="false"/>
          <w:color w:val="000000"/>
          <w:sz w:val="24"/>
          <w:lang w:val="pl-Pl"/>
        </w:rPr>
        <w:t xml:space="preserve"> </w:t>
      </w:r>
    </w:p>
    <w:p>
      <w:pPr>
        <w:spacing w:before="26" w:after="0"/>
        <w:ind w:left="0"/>
        <w:jc w:val="left"/>
        <w:textAlignment w:val="auto"/>
      </w:pPr>
    </w:p>
    <w:p>
      <w:pPr>
        <w:spacing w:after="0"/>
        <w:ind w:left="0"/>
        <w:jc w:val="left"/>
        <w:textAlignment w:val="auto"/>
      </w:pPr>
      <w:r>
        <w:rPr>
          <w:rFonts w:ascii="Times New Roman"/>
          <w:b/>
          <w:i w:val="false"/>
          <w:color w:val="000000"/>
          <w:sz w:val="24"/>
          <w:lang w:val="pl-Pl"/>
        </w:rPr>
        <w:t xml:space="preserve">§  1.  </w:t>
      </w:r>
    </w:p>
    <w:p>
      <w:pPr>
        <w:spacing w:after="0"/>
        <w:ind w:left="0"/>
        <w:jc w:val="left"/>
        <w:textAlignment w:val="auto"/>
      </w:pPr>
      <w:r>
        <w:rPr>
          <w:rFonts w:ascii="Times New Roman"/>
          <w:b w:val="false"/>
          <w:i w:val="false"/>
          <w:color w:val="000000"/>
          <w:sz w:val="24"/>
          <w:lang w:val="pl-Pl"/>
        </w:rPr>
        <w:t>Prezes sądu może zarządzić przydzielenie dodatkowego ławnika do sprawy, jeżeli istnieje prawdopodobieństwo, że będzie ona trwać czas dłuższy. W razie potrzeby można przydzielić dwóch ławników dodatkowych wskazując kolejność, w której będą oni wstępować do udziału w naradzie i głosowaniu.</w:t>
      </w:r>
    </w:p>
    <w:p>
      <w:pPr>
        <w:spacing w:before="26" w:after="0"/>
        <w:ind w:left="0"/>
        <w:jc w:val="left"/>
        <w:textAlignment w:val="auto"/>
      </w:pPr>
    </w:p>
    <w:p>
      <w:pPr>
        <w:spacing w:after="0"/>
        <w:ind w:left="0"/>
        <w:jc w:val="left"/>
        <w:textAlignment w:val="auto"/>
      </w:pPr>
      <w:r>
        <w:rPr>
          <w:rFonts w:ascii="Times New Roman"/>
          <w:b/>
          <w:i w:val="false"/>
          <w:color w:val="000000"/>
          <w:sz w:val="24"/>
          <w:lang w:val="pl-Pl"/>
        </w:rPr>
        <w:t xml:space="preserve">§  2.  </w:t>
      </w:r>
    </w:p>
    <w:p>
      <w:pPr>
        <w:spacing w:after="0"/>
        <w:ind w:left="0"/>
        <w:jc w:val="left"/>
        <w:textAlignment w:val="auto"/>
      </w:pPr>
      <w:r>
        <w:rPr>
          <w:rFonts w:ascii="Times New Roman"/>
          <w:b w:val="false"/>
          <w:i w:val="false"/>
          <w:color w:val="000000"/>
          <w:sz w:val="24"/>
          <w:lang w:val="pl-Pl"/>
        </w:rPr>
        <w:t>Ławnik dodatkowy bierze udział w naradzie i głosowaniu, jeżeli jeden z ławników nie może uczestniczyć w składzie sądu.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172. </w:t>
      </w:r>
      <w:r>
        <w:rPr>
          <w:rFonts w:ascii="Times New Roman"/>
          <w:b/>
          <w:i w:val="false"/>
          <w:color w:val="000000"/>
          <w:sz w:val="24"/>
          <w:lang w:val="pl-Pl"/>
        </w:rPr>
        <w:t xml:space="preserve"> [Obowiązki pracodawcy ławnika; rekompensata pieniężna; ryczałt na pokrycie kosztów dojazdu do sądu]</w:t>
      </w:r>
      <w:r>
        <w:rPr>
          <w:rFonts w:ascii="Times New Roman"/>
          <w:b/>
          <w:i w:val="false"/>
          <w:color w:val="000000"/>
          <w:sz w:val="24"/>
          <w:lang w:val="pl-Pl"/>
        </w:rPr>
        <w:t xml:space="preserve"> </w:t>
      </w:r>
    </w:p>
    <w:p>
      <w:pPr>
        <w:spacing w:before="26" w:after="0"/>
        <w:ind w:left="0"/>
        <w:jc w:val="left"/>
        <w:textAlignment w:val="auto"/>
      </w:pPr>
    </w:p>
    <w:p>
      <w:pPr>
        <w:spacing w:after="0"/>
        <w:ind w:left="0"/>
        <w:jc w:val="left"/>
        <w:textAlignment w:val="auto"/>
      </w:pPr>
      <w:r>
        <w:rPr>
          <w:rFonts w:ascii="Times New Roman"/>
          <w:b/>
          <w:i w:val="false"/>
          <w:color w:val="000000"/>
          <w:sz w:val="24"/>
          <w:lang w:val="pl-Pl"/>
        </w:rPr>
        <w:t xml:space="preserve">§  1.  </w:t>
      </w:r>
    </w:p>
    <w:p>
      <w:pPr>
        <w:spacing w:after="0"/>
        <w:ind w:left="0"/>
        <w:jc w:val="left"/>
        <w:textAlignment w:val="auto"/>
      </w:pPr>
      <w:r>
        <w:rPr>
          <w:rFonts w:ascii="Times New Roman"/>
          <w:b w:val="false"/>
          <w:i w:val="false"/>
          <w:color w:val="000000"/>
          <w:sz w:val="24"/>
          <w:lang w:val="pl-Pl"/>
        </w:rPr>
        <w:t>Pracodawca zatrudniający ławnika jest obowiązany zwolnić go od pracy na czas wykonywania czynności w sądzie.</w:t>
      </w:r>
    </w:p>
    <w:p>
      <w:pPr>
        <w:spacing w:before="26" w:after="0"/>
        <w:ind w:left="0"/>
        <w:jc w:val="left"/>
        <w:textAlignment w:val="auto"/>
      </w:pPr>
    </w:p>
    <w:p>
      <w:pPr>
        <w:spacing w:after="0"/>
        <w:ind w:left="0"/>
        <w:jc w:val="left"/>
        <w:textAlignment w:val="auto"/>
      </w:pPr>
      <w:r>
        <w:rPr>
          <w:rFonts w:ascii="Times New Roman"/>
          <w:b/>
          <w:i w:val="false"/>
          <w:color w:val="000000"/>
          <w:sz w:val="24"/>
          <w:lang w:val="pl-Pl"/>
        </w:rPr>
        <w:t xml:space="preserve">§  2.  </w:t>
      </w:r>
    </w:p>
    <w:p>
      <w:pPr>
        <w:spacing w:after="0"/>
        <w:ind w:left="0"/>
        <w:jc w:val="left"/>
        <w:textAlignment w:val="auto"/>
      </w:pPr>
      <w:r>
        <w:rPr>
          <w:rFonts w:ascii="Times New Roman"/>
          <w:b w:val="false"/>
          <w:i w:val="false"/>
          <w:color w:val="000000"/>
          <w:sz w:val="24"/>
          <w:lang w:val="pl-Pl"/>
        </w:rPr>
        <w:t>Za czas zwolnienia od pracy ławnik zachowuje prawo do świadczeń wynikających ze stosunku pracy, z wyjątkiem prawa do wynagrodzenia.</w:t>
      </w:r>
    </w:p>
    <w:p>
      <w:pPr>
        <w:spacing w:before="26" w:after="0"/>
        <w:ind w:left="0"/>
        <w:jc w:val="left"/>
        <w:textAlignment w:val="auto"/>
      </w:pPr>
    </w:p>
    <w:p>
      <w:pPr>
        <w:spacing w:after="0"/>
        <w:ind w:left="0"/>
        <w:jc w:val="left"/>
        <w:textAlignment w:val="auto"/>
      </w:pPr>
      <w:r>
        <w:rPr>
          <w:rFonts w:ascii="Times New Roman"/>
          <w:b/>
          <w:i w:val="false"/>
          <w:color w:val="000000"/>
          <w:sz w:val="24"/>
          <w:lang w:val="pl-Pl"/>
        </w:rPr>
        <w:t xml:space="preserve">§  3.  </w:t>
      </w:r>
    </w:p>
    <w:p>
      <w:pPr>
        <w:spacing w:after="0"/>
        <w:ind w:left="0"/>
        <w:jc w:val="left"/>
        <w:textAlignment w:val="auto"/>
      </w:pPr>
      <w:r>
        <w:rPr>
          <w:rFonts w:ascii="Times New Roman"/>
          <w:b w:val="false"/>
          <w:i w:val="false"/>
          <w:color w:val="000000"/>
          <w:sz w:val="24"/>
          <w:lang w:val="pl-Pl"/>
        </w:rPr>
        <w:t>Ławnik otrzymuje rekompensatę pieniężną za czas wykonywania czynności w sądzie, którymi są: udział w rozprawie lub posiedzeniu, uczestnictwo w naradzie nad wyrokiem, sporządzenie uzasadnienia lub uczestnictwo w posiedzeniu rady ławniczej, jeżeli został do niej wybrany.</w:t>
      </w:r>
    </w:p>
    <w:p>
      <w:pPr>
        <w:spacing w:before="26" w:after="0"/>
        <w:ind w:left="0"/>
        <w:jc w:val="left"/>
        <w:textAlignment w:val="auto"/>
      </w:pPr>
    </w:p>
    <w:p>
      <w:pPr>
        <w:spacing w:after="0"/>
        <w:ind w:left="0"/>
        <w:jc w:val="left"/>
        <w:textAlignment w:val="auto"/>
      </w:pPr>
      <w:r>
        <w:rPr>
          <w:rFonts w:ascii="Times New Roman"/>
          <w:b/>
          <w:i w:val="false"/>
          <w:color w:val="000000"/>
          <w:sz w:val="24"/>
          <w:lang w:val="pl-Pl"/>
        </w:rPr>
        <w:t xml:space="preserve">§  4.  </w:t>
      </w:r>
    </w:p>
    <w:p>
      <w:pPr>
        <w:spacing w:after="0"/>
        <w:ind w:left="0"/>
        <w:jc w:val="left"/>
        <w:textAlignment w:val="auto"/>
      </w:pPr>
      <w:r>
        <w:rPr>
          <w:rFonts w:ascii="Times New Roman"/>
          <w:b w:val="false"/>
          <w:i w:val="false"/>
          <w:color w:val="000000"/>
          <w:sz w:val="24"/>
          <w:lang w:val="pl-Pl"/>
        </w:rPr>
        <w:t>Wysokość rekompensaty dla ławników biorących udział w rozpoznawaniu spraw w sądach powszechnych, za jeden dzień pełnienia obowiązków ławnika, wynosi 2,64% podstawy ustalenia wynagrodzenia zasadniczego sędziego, o której mowa w art. 91 § 1c.</w:t>
      </w:r>
    </w:p>
    <w:p>
      <w:pPr>
        <w:spacing w:before="26" w:after="0"/>
        <w:ind w:left="0"/>
        <w:jc w:val="left"/>
        <w:textAlignment w:val="auto"/>
      </w:pPr>
    </w:p>
    <w:p>
      <w:pPr>
        <w:spacing w:after="0"/>
        <w:ind w:left="0"/>
        <w:jc w:val="left"/>
        <w:textAlignment w:val="auto"/>
      </w:pPr>
      <w:r>
        <w:rPr>
          <w:rFonts w:ascii="Times New Roman"/>
          <w:b/>
          <w:i w:val="false"/>
          <w:color w:val="000000"/>
          <w:sz w:val="24"/>
          <w:lang w:val="pl-Pl"/>
        </w:rPr>
        <w:t xml:space="preserve">§  4a.  </w:t>
      </w:r>
    </w:p>
    <w:p>
      <w:pPr>
        <w:spacing w:after="0"/>
        <w:ind w:left="0"/>
        <w:jc w:val="left"/>
        <w:textAlignment w:val="auto"/>
      </w:pPr>
      <w:r>
        <w:rPr>
          <w:rFonts w:ascii="Times New Roman"/>
          <w:b w:val="false"/>
          <w:i w:val="false"/>
          <w:color w:val="000000"/>
          <w:sz w:val="24"/>
          <w:lang w:val="pl-Pl"/>
        </w:rPr>
        <w:t>Ławnikowi przysługuje ryczałt na pokrycie kosztów dojazdu do sądu w celu wykonywania czynności w sądzie środkami komunikacji miejscowej w wysokości 0,25% podstawy ustalenia wynagrodzenia zasadniczego sędziego, o której mowa w art. 91 § 1c.</w:t>
      </w:r>
    </w:p>
    <w:p>
      <w:pPr>
        <w:spacing w:before="26" w:after="0"/>
        <w:ind w:left="0"/>
        <w:jc w:val="left"/>
        <w:textAlignment w:val="auto"/>
      </w:pPr>
    </w:p>
    <w:p>
      <w:pPr>
        <w:spacing w:after="0"/>
        <w:ind w:left="0"/>
        <w:jc w:val="left"/>
        <w:textAlignment w:val="auto"/>
      </w:pPr>
      <w:r>
        <w:rPr>
          <w:rFonts w:ascii="Times New Roman"/>
          <w:b/>
          <w:i w:val="false"/>
          <w:color w:val="000000"/>
          <w:sz w:val="24"/>
          <w:lang w:val="pl-Pl"/>
        </w:rPr>
        <w:t xml:space="preserve">§  5.  </w:t>
      </w:r>
    </w:p>
    <w:p>
      <w:pPr>
        <w:spacing w:after="0"/>
        <w:ind w:left="0"/>
        <w:jc w:val="left"/>
        <w:textAlignment w:val="auto"/>
      </w:pPr>
      <w:r>
        <w:rPr>
          <w:rFonts w:ascii="Times New Roman"/>
          <w:b w:val="false"/>
          <w:i w:val="false"/>
          <w:color w:val="000000"/>
          <w:sz w:val="24"/>
          <w:lang w:val="pl-Pl"/>
        </w:rPr>
        <w:t>(uchylony).</w:t>
      </w:r>
    </w:p>
    <w:p>
      <w:pPr>
        <w:spacing w:before="26" w:after="0"/>
        <w:ind w:left="0"/>
        <w:jc w:val="left"/>
        <w:textAlignment w:val="auto"/>
      </w:pPr>
    </w:p>
    <w:p>
      <w:pPr>
        <w:spacing w:after="0"/>
        <w:ind w:left="0"/>
        <w:jc w:val="left"/>
        <w:textAlignment w:val="auto"/>
      </w:pPr>
      <w:r>
        <w:rPr>
          <w:rFonts w:ascii="Times New Roman"/>
          <w:b/>
          <w:i w:val="false"/>
          <w:color w:val="000000"/>
          <w:sz w:val="24"/>
          <w:lang w:val="pl-Pl"/>
        </w:rPr>
        <w:t xml:space="preserve">§  6.  </w:t>
      </w:r>
    </w:p>
    <w:p>
      <w:pPr>
        <w:spacing w:after="0"/>
        <w:ind w:left="0"/>
        <w:jc w:val="left"/>
        <w:textAlignment w:val="auto"/>
      </w:pPr>
      <w:r>
        <w:rPr>
          <w:rFonts w:ascii="Times New Roman"/>
          <w:b w:val="false"/>
          <w:i w:val="false"/>
          <w:color w:val="000000"/>
          <w:sz w:val="24"/>
          <w:lang w:val="pl-Pl"/>
        </w:rPr>
        <w:t>Koszty wypłaty świadczeń, o których mowa w § 4 i 4a, ponosi Skarb Państwa.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173. </w:t>
      </w:r>
      <w:r>
        <w:rPr>
          <w:rFonts w:ascii="Times New Roman"/>
          <w:b/>
          <w:i w:val="false"/>
          <w:color w:val="000000"/>
          <w:sz w:val="24"/>
          <w:lang w:val="pl-Pl"/>
        </w:rPr>
        <w:t xml:space="preserve"> [Diety i zwrot kosztów przejazdu i noclegu ławników]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Ławnicy zamieszkali poza siedzibą sądu otrzymują diety oraz zwrot kosztów przejazdu i noclegu według zasad ustalonych w tym zakresie dla sędziów.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174. </w:t>
      </w:r>
      <w:r>
        <w:rPr>
          <w:rFonts w:ascii="Times New Roman"/>
          <w:b/>
          <w:i w:val="false"/>
          <w:color w:val="000000"/>
          <w:sz w:val="24"/>
          <w:lang w:val="pl-Pl"/>
        </w:rPr>
        <w:t xml:space="preserve"> [Przyznanie należności ławnikom]</w:t>
      </w:r>
      <w:r>
        <w:rPr>
          <w:rFonts w:ascii="Times New Roman"/>
          <w:b/>
          <w:i w:val="false"/>
          <w:color w:val="000000"/>
          <w:sz w:val="24"/>
          <w:lang w:val="pl-Pl"/>
        </w:rPr>
        <w:t xml:space="preserve"> </w:t>
      </w:r>
    </w:p>
    <w:p>
      <w:pPr>
        <w:spacing w:before="26" w:after="0"/>
        <w:ind w:left="0"/>
        <w:jc w:val="left"/>
        <w:textAlignment w:val="auto"/>
      </w:pPr>
    </w:p>
    <w:p>
      <w:pPr>
        <w:spacing w:after="0"/>
        <w:ind w:left="0"/>
        <w:jc w:val="left"/>
        <w:textAlignment w:val="auto"/>
      </w:pPr>
      <w:r>
        <w:rPr>
          <w:rFonts w:ascii="Times New Roman"/>
          <w:b/>
          <w:i w:val="false"/>
          <w:color w:val="000000"/>
          <w:sz w:val="24"/>
          <w:lang w:val="pl-Pl"/>
        </w:rPr>
        <w:t xml:space="preserve">§  1.  </w:t>
      </w:r>
    </w:p>
    <w:p>
      <w:pPr>
        <w:spacing w:after="0"/>
        <w:ind w:left="0"/>
        <w:jc w:val="left"/>
        <w:textAlignment w:val="auto"/>
      </w:pPr>
      <w:r>
        <w:rPr>
          <w:rFonts w:ascii="Times New Roman"/>
          <w:b w:val="false"/>
          <w:i w:val="false"/>
          <w:color w:val="000000"/>
          <w:sz w:val="24"/>
          <w:lang w:val="pl-Pl"/>
        </w:rPr>
        <w:t>Należności, o których mowa w art. 172 § 3 i art. 173, przyznaje prezes właściwego sądu.</w:t>
      </w:r>
    </w:p>
    <w:p>
      <w:pPr>
        <w:spacing w:before="26" w:after="0"/>
        <w:ind w:left="0"/>
        <w:jc w:val="left"/>
        <w:textAlignment w:val="auto"/>
      </w:pPr>
    </w:p>
    <w:p>
      <w:pPr>
        <w:spacing w:after="0"/>
        <w:ind w:left="0"/>
        <w:jc w:val="left"/>
        <w:textAlignment w:val="auto"/>
      </w:pPr>
      <w:r>
        <w:rPr>
          <w:rFonts w:ascii="Times New Roman"/>
          <w:b/>
          <w:i w:val="false"/>
          <w:color w:val="000000"/>
          <w:sz w:val="24"/>
          <w:lang w:val="pl-Pl"/>
        </w:rPr>
        <w:t xml:space="preserve">§  2.  </w:t>
      </w:r>
    </w:p>
    <w:p>
      <w:pPr>
        <w:spacing w:after="0"/>
        <w:ind w:left="0"/>
        <w:jc w:val="left"/>
        <w:textAlignment w:val="auto"/>
      </w:pPr>
      <w:r>
        <w:rPr>
          <w:rFonts w:ascii="Times New Roman"/>
          <w:b w:val="false"/>
          <w:i w:val="false"/>
          <w:color w:val="000000"/>
          <w:sz w:val="24"/>
          <w:lang w:val="pl-Pl"/>
        </w:rPr>
        <w:t>Od decyzji prezesa sądu rejonowego przysługuje odwołanie do prezesa sądu okręgowego, a gdy decyzję w pierwszej instancji wydał prezes sądu okręgowego lub prezes sądu apelacyjnego - do Ministra Sprawiedliwości.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175. </w:t>
      </w:r>
      <w:r>
        <w:rPr>
          <w:rFonts w:ascii="Times New Roman"/>
          <w:b/>
          <w:i w:val="false"/>
          <w:color w:val="000000"/>
          <w:sz w:val="24"/>
          <w:lang w:val="pl-Pl"/>
        </w:rPr>
        <w:t xml:space="preserve"> [Rada ławnicza]</w:t>
      </w:r>
      <w:r>
        <w:rPr>
          <w:rFonts w:ascii="Times New Roman"/>
          <w:b/>
          <w:i w:val="false"/>
          <w:color w:val="000000"/>
          <w:sz w:val="24"/>
          <w:lang w:val="pl-Pl"/>
        </w:rPr>
        <w:t xml:space="preserve"> </w:t>
      </w:r>
    </w:p>
    <w:p>
      <w:pPr>
        <w:spacing w:before="26" w:after="0"/>
        <w:ind w:left="0"/>
        <w:jc w:val="left"/>
        <w:textAlignment w:val="auto"/>
      </w:pPr>
    </w:p>
    <w:p>
      <w:pPr>
        <w:spacing w:after="0"/>
        <w:ind w:left="0"/>
        <w:jc w:val="left"/>
        <w:textAlignment w:val="auto"/>
      </w:pPr>
      <w:r>
        <w:rPr>
          <w:rFonts w:ascii="Times New Roman"/>
          <w:b/>
          <w:i w:val="false"/>
          <w:color w:val="000000"/>
          <w:sz w:val="24"/>
          <w:lang w:val="pl-Pl"/>
        </w:rPr>
        <w:t xml:space="preserve">§  1.  </w:t>
      </w:r>
    </w:p>
    <w:p>
      <w:pPr>
        <w:spacing w:after="0"/>
        <w:ind w:left="0"/>
        <w:jc w:val="left"/>
        <w:textAlignment w:val="auto"/>
      </w:pPr>
      <w:r>
        <w:rPr>
          <w:rFonts w:ascii="Times New Roman"/>
          <w:b w:val="false"/>
          <w:i w:val="false"/>
          <w:color w:val="000000"/>
          <w:sz w:val="24"/>
          <w:lang w:val="pl-Pl"/>
        </w:rPr>
        <w:t>Ławnicy każdego sądu wybierają ze swego grona radę ławniczą, jej przewodniczącego i zastępców.</w:t>
      </w:r>
    </w:p>
    <w:p>
      <w:pPr>
        <w:spacing w:before="26" w:after="0"/>
        <w:ind w:left="0"/>
        <w:jc w:val="left"/>
        <w:textAlignment w:val="auto"/>
      </w:pPr>
    </w:p>
    <w:p>
      <w:pPr>
        <w:spacing w:after="0"/>
        <w:ind w:left="0"/>
        <w:jc w:val="left"/>
        <w:textAlignment w:val="auto"/>
      </w:pPr>
      <w:r>
        <w:rPr>
          <w:rFonts w:ascii="Times New Roman"/>
          <w:b/>
          <w:i w:val="false"/>
          <w:color w:val="000000"/>
          <w:sz w:val="24"/>
          <w:lang w:val="pl-Pl"/>
        </w:rPr>
        <w:t xml:space="preserve">§  2.  </w:t>
      </w:r>
    </w:p>
    <w:p>
      <w:pPr>
        <w:spacing w:after="0"/>
        <w:ind w:left="0"/>
        <w:jc w:val="left"/>
        <w:textAlignment w:val="auto"/>
      </w:pPr>
      <w:r>
        <w:rPr>
          <w:rFonts w:ascii="Times New Roman"/>
          <w:b w:val="false"/>
          <w:i w:val="false"/>
          <w:color w:val="000000"/>
          <w:sz w:val="24"/>
          <w:lang w:val="pl-Pl"/>
        </w:rPr>
        <w:t>Do zadań rady ławniczej należy w szczególności podnoszenie poziomu pracy ławników i ich reprezentowanie oraz pobudzanie działalności wychowawczej ławników w społeczeństwie.</w:t>
      </w:r>
    </w:p>
    <w:p>
      <w:pPr>
        <w:spacing w:before="26" w:after="0"/>
        <w:ind w:left="0"/>
        <w:jc w:val="left"/>
        <w:textAlignment w:val="auto"/>
      </w:pPr>
    </w:p>
    <w:p>
      <w:pPr>
        <w:spacing w:after="0"/>
        <w:ind w:left="0"/>
        <w:jc w:val="left"/>
        <w:textAlignment w:val="auto"/>
      </w:pPr>
      <w:r>
        <w:rPr>
          <w:rFonts w:ascii="Times New Roman"/>
          <w:b/>
          <w:i w:val="false"/>
          <w:color w:val="000000"/>
          <w:sz w:val="24"/>
          <w:lang w:val="pl-Pl"/>
        </w:rPr>
        <w:t xml:space="preserve">§  3.  </w:t>
      </w:r>
    </w:p>
    <w:p>
      <w:pPr>
        <w:spacing w:after="0"/>
        <w:ind w:left="0"/>
        <w:jc w:val="left"/>
        <w:textAlignment w:val="auto"/>
      </w:pPr>
      <w:r>
        <w:rPr>
          <w:rFonts w:ascii="Times New Roman"/>
          <w:b w:val="false"/>
          <w:i w:val="false"/>
          <w:color w:val="000000"/>
          <w:sz w:val="24"/>
          <w:lang w:val="pl-Pl"/>
        </w:rPr>
        <w:t>Minister Sprawiedliwości określi, w drodze rozporządzenia, sposób wyboru, skład i strukturę organizacyjną, tryb działania oraz szczegółowe zadania rady ławniczej, uwzględniając obligatoryjny charakter rady ławniczej jako samorządu ławniczego, reprezentującego ławników w danym sądzie, zakres współpracy z prezesem sądu, potrzebę uwzględnienia w jej strukturze przewodniczącego i zastępców oraz określenia ich zadań.</w:t>
      </w:r>
    </w:p>
    <w:p>
      <w:pPr>
        <w:spacing w:before="250" w:after="0"/>
        <w:ind w:left="0"/>
        <w:jc w:val="left"/>
        <w:textAlignment w:val="auto"/>
      </w:pP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1">
    <w:multiLevelType w:val="multilevel"/>
    <w:lvl w:ilvl="0">
      <w:start w:val="1"/>
      <w:numFmt w:val="none"/>
      <w:lvlText w:val=""/>
      <w:lvlJc w:val="left"/>
      <w:pPr>
        <w:ind w:left="0"/>
      </w:pPr>
    </w:lvl>
    <w:lvl w:ilvl="1">
      <w:start w:val="1"/>
      <w:numFmt w:val="none"/>
      <w:lvlText w:val=""/>
      <w:lvlJc w:val="left"/>
      <w:pPr>
        <w:ind w:left="0"/>
      </w:pPr>
    </w:lvl>
  </w:abstractNum>
  <w:num w:numId="1">
    <w:abstractNumId w:val="1"/>
  </w:num>
</w:numbering>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asciiTheme="minorHAnsi" w:hAnsiTheme="minorHAnsi" w:eastAsiaTheme="minorHAnsi" w:cstheme="minorBidi"/>
        <w:sz w:val="24"/>
        <w:szCs w:val="22"/>
        <w:lang w:val="pl-Pl"/>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sz w:val="24"/>
      <w:lang w:val="pl-Pl"/>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HeaderStyle">
    <w:name w:val="HeaderStyle"/>
    <w:pPr>
      <w:spacing w:line="240" w:lineRule="auto"/>
      <w:jc w:val="center"/>
    </w:pPr>
    <w:rPr>
      <w:rFonts w:ascii="Times New Roman" w:hAnsi="Times New Roman" w:eastAsia="Times New Roman" w:cs="Times New Roman"/>
      <w:b/>
      <w:color w:val="000000" w:themeColor="text1"/>
      <w:sz w:val="24"/>
    </w:rPr>
  </w:style>
  <w:style w:type="paragraph" w:styleId="TitleStyle">
    <w:name w:val="TitleStyle"/>
    <w:pPr>
      <w:spacing w:line="240" w:lineRule="auto"/>
      <w:jc w:val="left"/>
    </w:pPr>
    <w:rPr>
      <w:rFonts w:ascii="Times New Roman" w:hAnsi="Times New Roman" w:eastAsia="Times New Roman" w:cs="Times New Roman"/>
      <w:b/>
      <w:color w:val="000000" w:themeColor="text1"/>
      <w:sz w:val="24"/>
    </w:rPr>
  </w:style>
  <w:style w:type="paragraph" w:styleId="TitleCenterStyle">
    <w:name w:val="TitleCenterStyle"/>
    <w:pPr>
      <w:spacing w:line="240" w:lineRule="auto"/>
      <w:jc w:val="center"/>
    </w:pPr>
    <w:rPr>
      <w:rFonts w:ascii="Times New Roman" w:hAnsi="Times New Roman" w:eastAsia="Times New Roman" w:cs="Times New Roman"/>
      <w:b/>
      <w:color w:val="000000" w:themeColor="text1"/>
      <w:sz w:val="24"/>
    </w:rPr>
  </w:style>
  <w:style w:type="paragraph" w:styleId="NormalStyle">
    <w:name w:val="NormalStyle"/>
    <w:pPr>
      <w:spacing w:after="0" w:line="240" w:lineRule="auto"/>
      <w:jc w:val="left"/>
    </w:pPr>
    <w:rPr>
      <w:rFonts w:ascii="Times New Roman" w:hAnsi="Times New Roman" w:eastAsia="Times New Roman" w:cs="Times New Roman"/>
      <w:color w:val="000000" w:themeColor="text1"/>
      <w:sz w:val="24"/>
    </w:rPr>
  </w:style>
  <w:style w:type="paragraph" w:styleId="NormalSpacingStyle">
    <w:name w:val="NormalSpacingStyle"/>
    <w:pPr>
      <w:spacing w:line="240" w:lineRule="auto"/>
      <w:jc w:val="left"/>
    </w:pPr>
    <w:rPr>
      <w:rFonts w:ascii="Times New Roman" w:hAnsi="Times New Roman" w:eastAsia="Times New Roman" w:cs="Times New Roman"/>
      <w:color w:val="000000" w:themeColor="text1"/>
      <w:sz w:val="24"/>
    </w:rPr>
  </w:style>
  <w:style w:type="paragraph" w:styleId="BoldStyle">
    <w:name w:val="BoldStyle"/>
    <w:pPr>
      <w:spacing w:after="0" w:line="240" w:lineRule="auto"/>
      <w:jc w:val="left"/>
    </w:pPr>
    <w:rPr>
      <w:rFonts w:ascii="Times New Roman" w:hAnsi="Times New Roman" w:eastAsia="Times New Roman" w:cs="Times New Roman"/>
      <w:b/>
      <w:color w:val="000000" w:themeColor="text1"/>
      <w:sz w:val="24"/>
    </w:rPr>
  </w:style>
  <w:style w:type="paragraph" w:styleId="DocDefaults">
    <w:name w:val="DocDefaults"/>
    <w:pPr>
      <w:spacing w:after="200" w:line="276" w:lineRule="auto"/>
    </w:pPr>
    <w:rPr>
      <w:rFonts w:ascii="Times New Roman" w:hAnsi="Times New Roman" w:eastAsia="Times New Roman" w:cs="Times New Roman" w:asciiTheme="minorHAnsi" w:hAnsiTheme="minorHAnsi" w:eastAsiaTheme="minorHAnsi" w:cstheme="minorBidi"/>
      <w:sz w:val="24"/>
      <w:szCs w:val="22"/>
      <w:lang w:val="pl-Pl"/>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