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63" w:rsidRPr="003777D4" w:rsidRDefault="00DC475C" w:rsidP="002F79BB">
      <w:pPr>
        <w:pStyle w:val="Domylnie"/>
        <w:tabs>
          <w:tab w:val="left" w:pos="5670"/>
          <w:tab w:val="left" w:pos="6237"/>
          <w:tab w:val="right" w:pos="8929"/>
        </w:tabs>
        <w:spacing w:before="120" w:after="120" w:line="240" w:lineRule="auto"/>
        <w:ind w:left="5670" w:right="-284"/>
        <w:rPr>
          <w:sz w:val="22"/>
          <w:szCs w:val="22"/>
        </w:rPr>
      </w:pPr>
      <w:bookmarkStart w:id="0" w:name="_GoBack"/>
      <w:bookmarkEnd w:id="0"/>
      <w:r w:rsidRPr="003777D4">
        <w:rPr>
          <w:bCs/>
          <w:sz w:val="22"/>
          <w:szCs w:val="22"/>
        </w:rPr>
        <w:t>IFXIII.747.18.2020</w:t>
      </w:r>
    </w:p>
    <w:p w:rsidR="00E37C91" w:rsidRDefault="00216D02" w:rsidP="00AA2DD2">
      <w:pPr>
        <w:spacing w:after="0" w:line="276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</w:p>
    <w:p w:rsidR="00E37C91" w:rsidRPr="004C13DA" w:rsidRDefault="00216D02" w:rsidP="00AA2DD2">
      <w:pPr>
        <w:spacing w:after="0" w:line="276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</w:p>
    <w:p w:rsidR="00C11363" w:rsidRPr="004C13DA" w:rsidRDefault="00DC475C" w:rsidP="00AA2DD2">
      <w:pPr>
        <w:spacing w:after="0" w:line="276" w:lineRule="auto"/>
        <w:ind w:left="-284" w:right="-286"/>
        <w:jc w:val="center"/>
        <w:rPr>
          <w:rFonts w:ascii="Times New Roman" w:hAnsi="Times New Roman" w:cs="Times New Roman"/>
        </w:rPr>
      </w:pPr>
      <w:r w:rsidRPr="004C13DA">
        <w:rPr>
          <w:rFonts w:ascii="Times New Roman" w:hAnsi="Times New Roman" w:cs="Times New Roman"/>
          <w:b/>
          <w:bCs/>
        </w:rPr>
        <w:t>OBWIESZCZENIE</w:t>
      </w:r>
    </w:p>
    <w:p w:rsidR="00E37C91" w:rsidRPr="004C13DA" w:rsidRDefault="00DC475C" w:rsidP="004C13DA">
      <w:pPr>
        <w:spacing w:after="60" w:line="240" w:lineRule="auto"/>
        <w:ind w:left="-284" w:right="-284" w:firstLine="425"/>
        <w:jc w:val="both"/>
        <w:rPr>
          <w:rFonts w:ascii="Times New Roman" w:hAnsi="Times New Roman" w:cs="Times New Roman"/>
        </w:rPr>
      </w:pPr>
      <w:r w:rsidRPr="004C13DA">
        <w:rPr>
          <w:rFonts w:ascii="Times New Roman" w:hAnsi="Times New Roman" w:cs="Times New Roman"/>
        </w:rPr>
        <w:t xml:space="preserve">Na podstawie art. 12 ustawy z dnia 24 kwietnia 2009r. o inwestycjach w zakresie terminalu regazyfikacyjnego skroplonego gazu ziemnego w Świnoujściu (t.j. Dz.U. z 2019 r. poz. 1554 z późn. zm.) oraz art. 49 ustawy z dnia </w:t>
      </w:r>
      <w:r>
        <w:rPr>
          <w:rFonts w:ascii="Times New Roman" w:hAnsi="Times New Roman" w:cs="Times New Roman"/>
        </w:rPr>
        <w:br/>
      </w:r>
      <w:r w:rsidRPr="004C13DA">
        <w:rPr>
          <w:rFonts w:ascii="Times New Roman" w:hAnsi="Times New Roman" w:cs="Times New Roman"/>
        </w:rPr>
        <w:t>14 czerwca 1960 r. – Kodeks postępowania administracyjnego (t.j. Dz. U. 2020r. poz. 256 ze zm.)</w:t>
      </w:r>
      <w:r>
        <w:rPr>
          <w:rFonts w:ascii="Times New Roman" w:hAnsi="Times New Roman" w:cs="Times New Roman"/>
        </w:rPr>
        <w:t>, zwanej dalej k.p.a.,</w:t>
      </w:r>
      <w:r w:rsidRPr="004C13DA">
        <w:rPr>
          <w:rFonts w:ascii="Times New Roman" w:hAnsi="Times New Roman" w:cs="Times New Roman"/>
        </w:rPr>
        <w:t xml:space="preserve"> podaję do publicznej wiadomości, że na wniosek Operatora Gazociągów Przesyłowych GAZ</w:t>
      </w:r>
      <w:r w:rsidRPr="004C13DA">
        <w:rPr>
          <w:rFonts w:ascii="Times New Roman" w:hAnsi="Times New Roman" w:cs="Times New Roman"/>
        </w:rPr>
        <w:noBreakHyphen/>
        <w:t>SYSTEM S.A., działającego przez pełnomocnika, została wydana decyzja o ustaleniu lokalizacji inwestycji towarzyszącej inwestycji w zakresie terminalu regazyfikacyjnego dla zadania inwestycyjnego pn.:</w:t>
      </w:r>
    </w:p>
    <w:p w:rsidR="00E90D67" w:rsidRDefault="00DC475C" w:rsidP="004B7995">
      <w:pPr>
        <w:spacing w:after="60" w:line="240" w:lineRule="auto"/>
        <w:ind w:left="-284" w:right="-284" w:firstLine="425"/>
        <w:jc w:val="center"/>
        <w:rPr>
          <w:rFonts w:ascii="Times New Roman" w:hAnsi="Times New Roman" w:cs="Times New Roman"/>
          <w:b/>
        </w:rPr>
      </w:pPr>
      <w:r w:rsidRPr="00E141A4">
        <w:rPr>
          <w:rFonts w:ascii="Times New Roman" w:hAnsi="Times New Roman" w:cs="Times New Roman"/>
          <w:b/>
        </w:rPr>
        <w:t>„Budowa gazociągu Skoczów – Komorowice – Oświęcim – Tworzeń wraz z infrastrukturą niezbędną do jego obsługi na terenie województw małopolskiego i śląskiego. Etap I Systemowa Stacja Redukcyjno-Pomiarowa Tworzeń w rejonie miejscowości Sławków”.</w:t>
      </w:r>
    </w:p>
    <w:p w:rsidR="004C13DA" w:rsidRDefault="00216D02" w:rsidP="002F79BB">
      <w:pPr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</w:rPr>
      </w:pPr>
    </w:p>
    <w:p w:rsidR="002F79BB" w:rsidRPr="001B0FA3" w:rsidRDefault="00DC475C" w:rsidP="002F79BB">
      <w:pPr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</w:rPr>
      </w:pPr>
      <w:r w:rsidRPr="0058736E">
        <w:rPr>
          <w:rFonts w:ascii="Times New Roman" w:hAnsi="Times New Roman" w:cs="Times New Roman"/>
          <w:b/>
          <w:bCs/>
        </w:rPr>
        <w:t>Decyzja podlega natychmiastowemu wykonaniu.</w:t>
      </w:r>
    </w:p>
    <w:p w:rsidR="002F79BB" w:rsidRPr="00CB0CA5" w:rsidRDefault="00DC475C" w:rsidP="002F79BB">
      <w:pPr>
        <w:pStyle w:val="Akapitzlist"/>
        <w:numPr>
          <w:ilvl w:val="0"/>
          <w:numId w:val="4"/>
        </w:numPr>
        <w:spacing w:before="240" w:after="12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  <w:r w:rsidRPr="00CB0CA5">
        <w:rPr>
          <w:rFonts w:ascii="Times New Roman" w:hAnsi="Times New Roman" w:cs="Times New Roman"/>
          <w:b/>
        </w:rPr>
        <w:t xml:space="preserve">Decyzją zostały </w:t>
      </w:r>
      <w:r w:rsidRPr="00CB0CA5">
        <w:rPr>
          <w:rFonts w:ascii="Times New Roman" w:hAnsi="Times New Roman" w:cs="Times New Roman"/>
          <w:b/>
          <w:bCs/>
        </w:rPr>
        <w:t xml:space="preserve">określone linie rozgraniczające teren inwestycji. </w:t>
      </w:r>
    </w:p>
    <w:p w:rsidR="002F79BB" w:rsidRPr="00CB0CA5" w:rsidRDefault="00DC475C" w:rsidP="002F79BB">
      <w:pPr>
        <w:shd w:val="clear" w:color="auto" w:fill="FFFFFF" w:themeFill="background1"/>
        <w:spacing w:before="60" w:after="60" w:line="240" w:lineRule="auto"/>
        <w:ind w:left="-284" w:right="-285"/>
        <w:jc w:val="both"/>
        <w:rPr>
          <w:rFonts w:ascii="Times New Roman" w:hAnsi="Times New Roman" w:cs="Times New Roman"/>
        </w:rPr>
      </w:pPr>
      <w:r w:rsidRPr="001B0FA3">
        <w:rPr>
          <w:rFonts w:ascii="Times New Roman" w:hAnsi="Times New Roman" w:cs="Times New Roman"/>
        </w:rPr>
        <w:t>Inwestycją objęte są nieruchomości, p</w:t>
      </w:r>
      <w:r w:rsidRPr="001B0FA3">
        <w:rPr>
          <w:rFonts w:ascii="Times New Roman" w:hAnsi="Times New Roman" w:cs="Times New Roman"/>
          <w:bCs/>
        </w:rPr>
        <w:t>ołożone w gminie</w:t>
      </w:r>
      <w:r w:rsidRPr="001B0FA3">
        <w:rPr>
          <w:rFonts w:ascii="Times New Roman" w:hAnsi="Times New Roman" w:cs="Times New Roman"/>
          <w:b/>
          <w:bCs/>
        </w:rPr>
        <w:t xml:space="preserve"> Sławków, Obręb: 0001- Sławków </w:t>
      </w:r>
      <w:r w:rsidRPr="001B0FA3">
        <w:rPr>
          <w:rFonts w:ascii="Times New Roman" w:hAnsi="Times New Roman" w:cs="Times New Roman"/>
          <w:bCs/>
        </w:rPr>
        <w:t xml:space="preserve">o numerach ewidencyjnych: </w:t>
      </w:r>
      <w:r w:rsidRPr="001B0FA3">
        <w:rPr>
          <w:rFonts w:ascii="Times New Roman" w:hAnsi="Times New Roman" w:cs="Times New Roman"/>
        </w:rPr>
        <w:t xml:space="preserve">1316/5, 1331/4, 2346/4, 1309, 1315/6, 1328/3, 2344/5, 1316/6, 2212/20, 1330/1, 1331/3, 1327/3, 1333/3, 2212/18, 1329/3, 2345, 1332/5, 2212/19, 1332/8, 2213/3, 2344/3, 1315/4, 1315/3, 1334/2, 1311/5, 1311/3, 1319/5, 1313/1, 1313/2, 1311/4, 1318/1, 1317/1, 1319/4, 1320/3, 1324/1, 1322/1, 1321/1, 1326/1, 1323/1, 1314/2, </w:t>
      </w:r>
      <w:r w:rsidRPr="00CB0CA5">
        <w:rPr>
          <w:rFonts w:ascii="Times New Roman" w:hAnsi="Times New Roman" w:cs="Times New Roman"/>
        </w:rPr>
        <w:t>1316/4, 1325/1, 1312, 2213/4, 2211/3, 2211/7, 1310, 2346/3, 1315/5, 1332/7.</w:t>
      </w:r>
    </w:p>
    <w:p w:rsidR="002F79BB" w:rsidRPr="00CB0CA5" w:rsidRDefault="00DC475C" w:rsidP="002F79BB">
      <w:pPr>
        <w:pStyle w:val="Akapitzlist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CB0CA5">
        <w:rPr>
          <w:rFonts w:ascii="Times New Roman" w:hAnsi="Times New Roman" w:cs="Times New Roman"/>
          <w:b/>
        </w:rPr>
        <w:t>Decyzją został zatwierdzony podział następujących nieruchomości:</w:t>
      </w:r>
    </w:p>
    <w:tbl>
      <w:tblPr>
        <w:tblW w:w="1023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9"/>
        <w:gridCol w:w="2155"/>
        <w:gridCol w:w="2238"/>
        <w:gridCol w:w="3404"/>
        <w:gridCol w:w="1731"/>
      </w:tblGrid>
      <w:tr w:rsidR="00EF3E4F" w:rsidTr="003929B5">
        <w:trPr>
          <w:trHeight w:val="27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9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ind w:left="3725" w:hanging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Gmina Sławków</w:t>
            </w:r>
          </w:p>
        </w:tc>
      </w:tr>
      <w:tr w:rsidR="00EF3E4F" w:rsidTr="003929B5">
        <w:trPr>
          <w:trHeight w:val="23"/>
          <w:tblHeader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9BB" w:rsidRPr="00E141A4" w:rsidRDefault="00216D02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Obręb</w:t>
            </w:r>
          </w:p>
        </w:tc>
      </w:tr>
      <w:tr w:rsidR="00EF3E4F" w:rsidTr="003929B5">
        <w:trPr>
          <w:trHeight w:val="23"/>
          <w:tblHeader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9BB" w:rsidRPr="00E141A4" w:rsidRDefault="00216D02" w:rsidP="003929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Stan dotychczasowy</w:t>
            </w:r>
          </w:p>
        </w:tc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Stan po podziale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216D02" w:rsidP="003929B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E4F" w:rsidTr="003929B5">
        <w:trPr>
          <w:trHeight w:val="240"/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9BB" w:rsidRPr="00E141A4" w:rsidRDefault="00216D02" w:rsidP="003929B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216D02" w:rsidP="003929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Pod  inwestycję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b/>
                <w:sz w:val="20"/>
                <w:szCs w:val="20"/>
              </w:rPr>
              <w:t>Pozostała część nieruchomości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216D02" w:rsidP="003929B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1310/1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1310/2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1310/3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1310/4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1311/12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1312/2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1312/3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1313/8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1314/2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1314/4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1314/3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1314/5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1315/3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1315/7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1315/8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1315/4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1315/9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1315/10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1315/5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1315/11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1315/12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1316/4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1316/8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1316/7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1316/9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1316/6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1316/10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1316/11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1317/1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1317/5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1317/4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1317/6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1318/1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1318/5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1318/4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1318/6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1319/4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1319/9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1319/8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1319/5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1319/10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1319/11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1320/3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1320/8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1320/7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1320/9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1321/1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1321/4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1321/5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1322/1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1322/4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1322/5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1323/1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1323/4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1323/3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1323/5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1324/1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1324/4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1324/3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1324/5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1334/2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1334/3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1334/4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1334/5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1334/6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1333/3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1333/4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1333/5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1325/1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1325/4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1325/3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1325/5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  <w:tr w:rsidR="00EF3E4F" w:rsidTr="003929B5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1326/1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1326/6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1326/5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1326/7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141A4" w:rsidRDefault="00DC475C" w:rsidP="003929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A4">
              <w:rPr>
                <w:rFonts w:ascii="Times New Roman" w:hAnsi="Times New Roman" w:cs="Times New Roman"/>
                <w:sz w:val="20"/>
                <w:szCs w:val="20"/>
              </w:rPr>
              <w:t>001-Sławków</w:t>
            </w:r>
          </w:p>
        </w:tc>
      </w:tr>
    </w:tbl>
    <w:p w:rsidR="002F79BB" w:rsidRPr="00CB0CA5" w:rsidRDefault="00DC475C" w:rsidP="002F79B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trike/>
        </w:rPr>
      </w:pPr>
      <w:r w:rsidRPr="00CB0CA5">
        <w:rPr>
          <w:rFonts w:ascii="Times New Roman" w:hAnsi="Times New Roman" w:cs="Times New Roman"/>
        </w:rPr>
        <w:lastRenderedPageBreak/>
        <w:t>Działki przejęte z mocy prawa na rzecz Skarbu Państwa oraz nabycie przez Inwestora prawa użytkowania wieczystego nieruchomości wskazanych w kolumnie 2 poniższej tabeli z dniem, w którym decyzja stanie się ostateczna.</w:t>
      </w:r>
    </w:p>
    <w:tbl>
      <w:tblPr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200"/>
        <w:gridCol w:w="2552"/>
        <w:gridCol w:w="2551"/>
      </w:tblGrid>
      <w:tr w:rsidR="00EF3E4F" w:rsidTr="003929B5">
        <w:trPr>
          <w:trHeight w:val="23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 pierwotnej (przed podziałem)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Powierzchnia działki w m</w:t>
            </w:r>
            <w:r w:rsidRPr="00E37C9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F3E4F" w:rsidTr="003929B5">
        <w:trPr>
          <w:trHeight w:val="216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1316/10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1316/6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1333/4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1333/3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 xml:space="preserve">1334/3, </w:t>
            </w:r>
          </w:p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1334/4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1334/2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1311/7</w:t>
            </w:r>
          </w:p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1311/9</w:t>
            </w:r>
          </w:p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1311/11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1311/5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1313/4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1313/1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1313/7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1313/2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1318/5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1318/1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1322/4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1322/1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1314/4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1314/2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1312/2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EF3E4F" w:rsidTr="003929B5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1310/1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</w:tbl>
    <w:p w:rsidR="002F79BB" w:rsidRPr="004C13DA" w:rsidRDefault="00DC475C" w:rsidP="002F79BB">
      <w:pPr>
        <w:pStyle w:val="Akapitzlist"/>
        <w:numPr>
          <w:ilvl w:val="0"/>
          <w:numId w:val="4"/>
        </w:numPr>
        <w:tabs>
          <w:tab w:val="left" w:pos="426"/>
        </w:tabs>
        <w:spacing w:before="240" w:after="120" w:line="240" w:lineRule="auto"/>
        <w:ind w:right="-427"/>
        <w:jc w:val="both"/>
        <w:rPr>
          <w:rFonts w:ascii="Times New Roman" w:hAnsi="Times New Roman" w:cs="Times New Roman"/>
        </w:rPr>
      </w:pPr>
      <w:r w:rsidRPr="00CB0CA5">
        <w:rPr>
          <w:rFonts w:ascii="Times New Roman" w:hAnsi="Times New Roman" w:cs="Times New Roman"/>
          <w:iCs/>
        </w:rPr>
        <w:t xml:space="preserve">Działki </w:t>
      </w:r>
      <w:r w:rsidRPr="004C13DA">
        <w:rPr>
          <w:rFonts w:ascii="Times New Roman" w:hAnsi="Times New Roman" w:cs="Times New Roman"/>
          <w:iCs/>
        </w:rPr>
        <w:t xml:space="preserve">dla których </w:t>
      </w:r>
      <w:r w:rsidRPr="004C13DA">
        <w:rPr>
          <w:rFonts w:ascii="Times New Roman" w:hAnsi="Times New Roman" w:cs="Times New Roman"/>
        </w:rPr>
        <w:t>Inwestor nabył z mocy prawa, prawo użytkowania wieczystego nieruchomości stanowiących własność Skarbu Państwa wskazanych w kolumnie 2 poniższej tabeli z dniem, w którym niniejsza decyzja stanie się ostateczna – z mocy prawa.</w:t>
      </w:r>
    </w:p>
    <w:tbl>
      <w:tblPr>
        <w:tblW w:w="79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79"/>
        <w:gridCol w:w="2551"/>
        <w:gridCol w:w="2552"/>
      </w:tblGrid>
      <w:tr w:rsidR="00EF3E4F" w:rsidTr="003929B5">
        <w:trPr>
          <w:trHeight w:val="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214D25" w:rsidRDefault="00DC475C" w:rsidP="003929B5">
            <w:pPr>
              <w:spacing w:after="0" w:line="240" w:lineRule="auto"/>
              <w:jc w:val="center"/>
            </w:pPr>
            <w:r w:rsidRPr="00214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214D25" w:rsidRDefault="00DC475C" w:rsidP="003929B5">
            <w:pPr>
              <w:spacing w:after="0" w:line="240" w:lineRule="auto"/>
              <w:jc w:val="center"/>
            </w:pPr>
            <w:r w:rsidRPr="00214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działki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214D25" w:rsidRDefault="00DC475C" w:rsidP="003929B5">
            <w:pPr>
              <w:spacing w:after="0" w:line="240" w:lineRule="auto"/>
              <w:jc w:val="center"/>
            </w:pPr>
            <w:r w:rsidRPr="00214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działki pierwotnej (przed podziałem)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214D25" w:rsidRDefault="00DC475C" w:rsidP="003929B5">
            <w:pPr>
              <w:spacing w:after="0" w:line="240" w:lineRule="auto"/>
              <w:jc w:val="center"/>
            </w:pPr>
            <w:r w:rsidRPr="00214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Powierzchnia działki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 m</w:t>
            </w:r>
            <w:r w:rsidRPr="007E2CB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EF3E4F" w:rsidTr="003929B5">
        <w:trPr>
          <w:trHeight w:val="2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8F2802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280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8F2802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28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8F2802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280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8F2802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1319/10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1319/5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1317/5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1317/1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1319/9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1319/4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1320/8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1320/3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1324/4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1324/1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1321/4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1321/1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1326/6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1326/1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1323/4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1323/1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1316/8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1316/4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1325/4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1325/1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</w:tr>
      <w:tr w:rsidR="00EF3E4F" w:rsidTr="003929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0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1315/5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79BB" w:rsidRPr="00E37C91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91">
              <w:rPr>
                <w:rFonts w:ascii="Times New Roman" w:hAnsi="Times New Roman" w:cs="Times New Roman"/>
                <w:sz w:val="20"/>
                <w:szCs w:val="20"/>
              </w:rPr>
              <w:t>2727</w:t>
            </w:r>
          </w:p>
        </w:tc>
      </w:tr>
    </w:tbl>
    <w:p w:rsidR="002F79BB" w:rsidRDefault="00216D02" w:rsidP="002F79BB">
      <w:pPr>
        <w:spacing w:after="0" w:line="240" w:lineRule="auto"/>
        <w:ind w:left="-142" w:right="-569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2F79BB" w:rsidRPr="00CB0CA5" w:rsidRDefault="00DC475C" w:rsidP="002F79BB">
      <w:pPr>
        <w:pStyle w:val="Akapitzlist"/>
        <w:numPr>
          <w:ilvl w:val="0"/>
          <w:numId w:val="4"/>
        </w:numPr>
        <w:spacing w:after="0" w:line="240" w:lineRule="auto"/>
        <w:ind w:right="-427"/>
        <w:jc w:val="both"/>
        <w:rPr>
          <w:rFonts w:ascii="Times New Roman" w:hAnsi="Times New Roman" w:cs="Times New Roman"/>
        </w:rPr>
      </w:pPr>
      <w:r w:rsidRPr="00CB0CA5">
        <w:rPr>
          <w:rFonts w:ascii="Times New Roman" w:hAnsi="Times New Roman" w:cs="Times New Roman"/>
          <w:iCs/>
        </w:rPr>
        <w:t xml:space="preserve">W celu zapewnienia prawa do wejścia na teren nieruchomości dla prowadzenia na nich budowy inwestycji, a także prac związanych z rozbiórką, przebudową, zmianą sposobu użytkowania, utrzymaniem, eksploatacją, użytkowaniem, remontami oraz usuwaniem awarii, </w:t>
      </w:r>
      <w:r w:rsidRPr="00CB0CA5">
        <w:rPr>
          <w:rFonts w:ascii="Times New Roman" w:hAnsi="Times New Roman" w:cs="Times New Roman"/>
          <w:iCs/>
          <w:u w:val="single"/>
        </w:rPr>
        <w:t>ograniczono na czas określony i nieokreślony sposób korzystania z nieruchomości</w:t>
      </w:r>
      <w:r w:rsidRPr="00CB0CA5">
        <w:rPr>
          <w:rFonts w:ascii="Times New Roman" w:hAnsi="Times New Roman" w:cs="Times New Roman"/>
          <w:iCs/>
        </w:rPr>
        <w:t xml:space="preserve"> znajdujących się w granicach terenu objętego inwestycją, wskazanych w kolumnie 2 poniższej tabeli poprzez udzielenie zezwolenia na wykonanie robót wskazanych w kolumnie 6 poniższej tabeli:</w:t>
      </w:r>
    </w:p>
    <w:p w:rsidR="002F79BB" w:rsidRPr="00AC3895" w:rsidRDefault="00216D02" w:rsidP="002F79BB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1134"/>
        <w:gridCol w:w="992"/>
        <w:gridCol w:w="1861"/>
        <w:gridCol w:w="1400"/>
        <w:gridCol w:w="4412"/>
      </w:tblGrid>
      <w:tr w:rsidR="00EF3E4F" w:rsidTr="003929B5">
        <w:trPr>
          <w:trHeight w:val="23"/>
          <w:tblHeader/>
          <w:jc w:val="center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 pierwotnej lub nie ulegającej podziałowi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 (po podziale)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Pow. ograniczenia w sposobie korzystania z terenu w m</w:t>
            </w:r>
            <w:r w:rsidRPr="00AC38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robót</w:t>
            </w:r>
          </w:p>
        </w:tc>
      </w:tr>
      <w:tr w:rsidR="00EF3E4F" w:rsidTr="003929B5">
        <w:trPr>
          <w:trHeight w:val="23"/>
          <w:tblHeader/>
          <w:jc w:val="center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czas określony</w:t>
            </w:r>
          </w:p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(roboty budowlane)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czas nieokreślony</w:t>
            </w:r>
          </w:p>
        </w:tc>
        <w:tc>
          <w:tcPr>
            <w:tcW w:w="4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E4F" w:rsidTr="003929B5">
        <w:trPr>
          <w:trHeight w:val="166"/>
          <w:tblHeader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F3E4F" w:rsidTr="003929B5">
        <w:trPr>
          <w:trHeight w:val="421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1316/5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ułożeniem podziemnego rurociągu do przesyłu gazu.</w:t>
            </w:r>
          </w:p>
        </w:tc>
      </w:tr>
      <w:tr w:rsidR="00EF3E4F" w:rsidTr="003929B5">
        <w:trPr>
          <w:trHeight w:val="413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2346/4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ułożeniem podziemnego rurociągu do przesyłu gazu.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ułożeniem podziemnego rurociągu do przesyłu gazu.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1328/3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2344/5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1316/6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1316/11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2212/20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1330/1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1331/3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1327/3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1333/3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1333/5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2212/8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1329/3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1332/5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2212/19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1332/8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1315/4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1315/10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1315/3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1315/8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1334/2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1334/5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1334/2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1334/6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1311/6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1311/8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1311/10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1311/12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1313/1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1313/5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budową stacji gazowej</w:t>
            </w:r>
          </w:p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1313/2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1313/8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budową stacji gazowej</w:t>
            </w:r>
          </w:p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1311/4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ułożeniem podziemnego rurociągu do przesyłu gazu.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1312/3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2211/7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1310/2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1310/3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1310/4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1315/5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1315/12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Budowa drogi dojazdowej</w:t>
            </w:r>
          </w:p>
        </w:tc>
      </w:tr>
      <w:tr w:rsidR="00EF3E4F" w:rsidTr="003929B5">
        <w:trPr>
          <w:trHeight w:val="224"/>
          <w:jc w:val="center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1332/7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sz w:val="20"/>
                <w:szCs w:val="20"/>
              </w:rPr>
              <w:t>Roboty związane z wykonaniem ziemnego przyłącza elektroenergetycznego nN</w:t>
            </w:r>
          </w:p>
        </w:tc>
      </w:tr>
    </w:tbl>
    <w:p w:rsidR="002F79BB" w:rsidRDefault="00216D02" w:rsidP="002F79BB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F79BB" w:rsidRDefault="00216D02" w:rsidP="002F79BB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F79BB" w:rsidRDefault="00216D02" w:rsidP="002F79BB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F79BB" w:rsidRPr="00CB0CA5" w:rsidRDefault="00DC475C" w:rsidP="002F79BB">
      <w:pPr>
        <w:pStyle w:val="Akapitzlist"/>
        <w:numPr>
          <w:ilvl w:val="0"/>
          <w:numId w:val="4"/>
        </w:numPr>
        <w:spacing w:after="120" w:line="240" w:lineRule="auto"/>
        <w:ind w:right="-567"/>
        <w:jc w:val="both"/>
        <w:rPr>
          <w:rFonts w:ascii="Times New Roman" w:hAnsi="Times New Roman" w:cs="Times New Roman"/>
          <w:iCs/>
        </w:rPr>
      </w:pPr>
      <w:r w:rsidRPr="00CB0CA5">
        <w:rPr>
          <w:rFonts w:ascii="Times New Roman" w:hAnsi="Times New Roman" w:cs="Times New Roman"/>
          <w:iCs/>
        </w:rPr>
        <w:lastRenderedPageBreak/>
        <w:t xml:space="preserve">W celu zapewnienia prawa do wejścia na teren nieruchomości dla prowadzenia na nich budowy inwestycji, a także prac związanych z rozbiórką, przebudową, zmianą sposobu użytkowania, utrzymaniem, eksploatacją, użytkowaniem, remontami oraz usuwaniem awarii, </w:t>
      </w:r>
      <w:r w:rsidRPr="00CB0CA5">
        <w:rPr>
          <w:rFonts w:ascii="Times New Roman" w:hAnsi="Times New Roman" w:cs="Times New Roman"/>
          <w:iCs/>
          <w:u w:val="single"/>
        </w:rPr>
        <w:t xml:space="preserve">ograniczono na czas określony i nieokreślony sposób korzystania z nieruchomości stanowiących własność Skarbu Państwa </w:t>
      </w:r>
      <w:r w:rsidRPr="00CB0CA5">
        <w:rPr>
          <w:rFonts w:ascii="Times New Roman" w:hAnsi="Times New Roman" w:cs="Times New Roman"/>
          <w:iCs/>
        </w:rPr>
        <w:t>stanowiących pas drogowy drogi publicznej a znajdujących się w granicach terenu objętego inwestycją, wskazanych w kolumnie 2 poniższej tabeli poprzez udzielenie zezwolenia na wykonanie robót wskazanych w kolumnie 6 poniższej tabeli:</w:t>
      </w: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142"/>
        <w:gridCol w:w="993"/>
        <w:gridCol w:w="1842"/>
        <w:gridCol w:w="1407"/>
        <w:gridCol w:w="11"/>
        <w:gridCol w:w="4536"/>
      </w:tblGrid>
      <w:tr w:rsidR="00EF3E4F" w:rsidTr="003929B5">
        <w:trPr>
          <w:trHeight w:val="23"/>
          <w:tblHeader/>
          <w:jc w:val="center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 pierwotnej lub nie ulegającej podziałowi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 (po podziale)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Pow. ograniczenia w sposobie korzystania z terenu w m</w:t>
            </w:r>
            <w:r w:rsidRPr="00AC38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robót</w:t>
            </w:r>
          </w:p>
        </w:tc>
      </w:tr>
      <w:tr w:rsidR="00EF3E4F" w:rsidTr="003929B5">
        <w:trPr>
          <w:trHeight w:val="23"/>
          <w:tblHeader/>
          <w:jc w:val="center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czas określony</w:t>
            </w:r>
          </w:p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(roboty budowlane)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czas nieokreślony</w:t>
            </w:r>
          </w:p>
        </w:tc>
        <w:tc>
          <w:tcPr>
            <w:tcW w:w="4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9BB" w:rsidRPr="00AC3895" w:rsidRDefault="00216D02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E4F" w:rsidTr="003929B5">
        <w:trPr>
          <w:trHeight w:val="166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AC3895" w:rsidRDefault="00DC475C" w:rsidP="003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F3E4F" w:rsidTr="003929B5">
        <w:tblPrEx>
          <w:jc w:val="left"/>
        </w:tblPrEx>
        <w:trPr>
          <w:trHeight w:val="42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216D02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Roboty związane z wykonaniem ziemnego przyłącza elektroenergetycznego nN</w:t>
            </w:r>
          </w:p>
        </w:tc>
      </w:tr>
      <w:tr w:rsidR="00EF3E4F" w:rsidTr="003929B5">
        <w:tblPrEx>
          <w:jc w:val="left"/>
        </w:tblPrEx>
        <w:trPr>
          <w:trHeight w:val="4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2213/3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216D02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216D02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napToGrid w:val="0"/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Roboty związane z ułożeniem podziemnego rurociągu do przesyłu gazu.</w:t>
            </w:r>
          </w:p>
        </w:tc>
      </w:tr>
      <w:tr w:rsidR="00EF3E4F" w:rsidTr="003929B5">
        <w:tblPrEx>
          <w:jc w:val="left"/>
        </w:tblPrEx>
        <w:trPr>
          <w:trHeight w:val="22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2344/3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216D02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napToGrid w:val="0"/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Roboty związane z wykonaniem ziemnego przyłącza elektroenergetycznego nN</w:t>
            </w:r>
          </w:p>
        </w:tc>
      </w:tr>
      <w:tr w:rsidR="00EF3E4F" w:rsidTr="003929B5">
        <w:tblPrEx>
          <w:jc w:val="left"/>
        </w:tblPrEx>
        <w:trPr>
          <w:trHeight w:val="22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2213/4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216D02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1040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napToGrid w:val="0"/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Roboty związane z wykonaniem ziemnego przyłącza elektroenergetycznego nN</w:t>
            </w:r>
          </w:p>
        </w:tc>
      </w:tr>
      <w:tr w:rsidR="00EF3E4F" w:rsidTr="003929B5">
        <w:tblPrEx>
          <w:jc w:val="left"/>
        </w:tblPrEx>
        <w:trPr>
          <w:trHeight w:val="22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4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2211/3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216D02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napToGrid w:val="0"/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Roboty związane z wykonaniem ziemnego przyłącza elektroenergetycznego nN</w:t>
            </w:r>
          </w:p>
        </w:tc>
      </w:tr>
      <w:tr w:rsidR="00EF3E4F" w:rsidTr="003929B5">
        <w:tblPrEx>
          <w:jc w:val="left"/>
        </w:tblPrEx>
        <w:trPr>
          <w:trHeight w:val="22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pStyle w:val="Akapitzlist"/>
              <w:tabs>
                <w:tab w:val="left" w:pos="72"/>
              </w:tabs>
              <w:snapToGrid w:val="0"/>
              <w:spacing w:after="0" w:line="240" w:lineRule="auto"/>
              <w:ind w:left="72" w:right="73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4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2346/3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216D02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2823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9BB" w:rsidRPr="006A0047" w:rsidRDefault="00DC475C" w:rsidP="003929B5">
            <w:pPr>
              <w:snapToGrid w:val="0"/>
              <w:spacing w:after="0" w:line="240" w:lineRule="auto"/>
              <w:ind w:left="7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A004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Roboty związane z wykonaniem ziemnego przyłącza elektroenergetycznego nN</w:t>
            </w:r>
          </w:p>
        </w:tc>
      </w:tr>
    </w:tbl>
    <w:p w:rsidR="002F79BB" w:rsidRDefault="00216D02" w:rsidP="002F79BB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F79BB" w:rsidRPr="0003615D" w:rsidRDefault="00DC475C" w:rsidP="002F79BB">
      <w:pPr>
        <w:spacing w:before="120" w:after="60" w:line="276" w:lineRule="auto"/>
        <w:ind w:left="-425" w:right="-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3615D">
        <w:rPr>
          <w:rFonts w:ascii="Times New Roman" w:eastAsia="Times New Roman" w:hAnsi="Times New Roman" w:cs="Times New Roman"/>
          <w:b/>
          <w:bCs/>
          <w:sz w:val="18"/>
          <w:szCs w:val="18"/>
        </w:rPr>
        <w:t>POUCZENIE</w:t>
      </w:r>
    </w:p>
    <w:p w:rsidR="002F79BB" w:rsidRPr="001B0FA3" w:rsidRDefault="00DC475C" w:rsidP="002F79BB">
      <w:pPr>
        <w:pStyle w:val="Akapitzlist"/>
        <w:numPr>
          <w:ilvl w:val="0"/>
          <w:numId w:val="3"/>
        </w:num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bCs/>
        </w:rPr>
      </w:pPr>
      <w:r w:rsidRPr="001B0FA3">
        <w:rPr>
          <w:rFonts w:ascii="Times New Roman" w:eastAsia="Times New Roman" w:hAnsi="Times New Roman" w:cs="Times New Roman"/>
          <w:iCs/>
        </w:rPr>
        <w:t xml:space="preserve">Informuję </w:t>
      </w:r>
      <w:r w:rsidRPr="001B0FA3">
        <w:rPr>
          <w:rFonts w:ascii="Times New Roman" w:eastAsia="Times New Roman" w:hAnsi="Times New Roman" w:cs="Times New Roman"/>
        </w:rPr>
        <w:t xml:space="preserve">o możliwości zapoznania się z ww. decyzją </w:t>
      </w:r>
      <w:r w:rsidRPr="001B0FA3">
        <w:rPr>
          <w:rFonts w:ascii="Times New Roman" w:eastAsia="Times New Roman" w:hAnsi="Times New Roman" w:cs="Times New Roman"/>
          <w:iCs/>
        </w:rPr>
        <w:t xml:space="preserve">w Wydziale Infrastruktury </w:t>
      </w:r>
      <w:r w:rsidRPr="001B0FA3">
        <w:rPr>
          <w:rFonts w:ascii="Times New Roman" w:eastAsia="Times New Roman" w:hAnsi="Times New Roman" w:cs="Times New Roman"/>
        </w:rPr>
        <w:t>Śląskiego Urzędu Wojewódzkiego w Katowicach</w:t>
      </w:r>
      <w:r w:rsidRPr="001B0FA3">
        <w:rPr>
          <w:rFonts w:ascii="Times New Roman" w:eastAsia="Times New Roman" w:hAnsi="Times New Roman" w:cs="Times New Roman"/>
          <w:iCs/>
        </w:rPr>
        <w:t>, ul. Jagiellońska 25, pok. 523, w godzinach od 9</w:t>
      </w:r>
      <w:r w:rsidRPr="001B0FA3">
        <w:rPr>
          <w:rFonts w:ascii="Times New Roman" w:eastAsia="Times New Roman" w:hAnsi="Times New Roman" w:cs="Times New Roman"/>
          <w:iCs/>
          <w:vertAlign w:val="superscript"/>
        </w:rPr>
        <w:t xml:space="preserve">00 </w:t>
      </w:r>
      <w:r w:rsidRPr="001B0FA3">
        <w:rPr>
          <w:rFonts w:ascii="Times New Roman" w:eastAsia="Times New Roman" w:hAnsi="Times New Roman" w:cs="Times New Roman"/>
          <w:iCs/>
        </w:rPr>
        <w:t xml:space="preserve"> do 14</w:t>
      </w:r>
      <w:r w:rsidRPr="001B0FA3">
        <w:rPr>
          <w:rFonts w:ascii="Times New Roman" w:eastAsia="Times New Roman" w:hAnsi="Times New Roman" w:cs="Times New Roman"/>
          <w:iCs/>
          <w:vertAlign w:val="superscript"/>
        </w:rPr>
        <w:t>00</w:t>
      </w:r>
      <w:r w:rsidRPr="001B0FA3">
        <w:rPr>
          <w:rFonts w:ascii="Times New Roman" w:eastAsia="Times New Roman" w:hAnsi="Times New Roman" w:cs="Times New Roman"/>
          <w:bCs/>
        </w:rPr>
        <w:t>.</w:t>
      </w:r>
    </w:p>
    <w:p w:rsidR="002F79BB" w:rsidRPr="001B0FA3" w:rsidRDefault="00DC475C" w:rsidP="002F79BB">
      <w:pPr>
        <w:pStyle w:val="Akapitzlist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</w:rPr>
      </w:pPr>
      <w:r w:rsidRPr="001B0FA3">
        <w:rPr>
          <w:rFonts w:ascii="Times New Roman" w:eastAsia="Times New Roman" w:hAnsi="Times New Roman" w:cs="Times New Roman"/>
          <w:iCs/>
          <w:lang w:eastAsia="ar-SA"/>
        </w:rPr>
        <w:t xml:space="preserve">W okresie stanu zagrożenia epidemicznego lub stanu epidemii, w związku z wprowadzonymi ograniczeniami </w:t>
      </w:r>
      <w:r>
        <w:rPr>
          <w:rFonts w:ascii="Times New Roman" w:eastAsia="Times New Roman" w:hAnsi="Times New Roman" w:cs="Times New Roman"/>
          <w:iCs/>
          <w:lang w:eastAsia="ar-SA"/>
        </w:rPr>
        <w:br/>
      </w:r>
      <w:r w:rsidRPr="001B0FA3">
        <w:rPr>
          <w:rFonts w:ascii="Times New Roman" w:eastAsia="Times New Roman" w:hAnsi="Times New Roman" w:cs="Times New Roman"/>
          <w:iCs/>
          <w:lang w:eastAsia="ar-SA"/>
        </w:rPr>
        <w:t>w funkcjonowaniu Śląskiego Urzędu Wojewódzkiego w Katowicach strony mogą zapoznać się z aktami sprawy po uprzednim uzgodnieniu telefonicznym z inspektorem prowadzącym sprawę pod numerem telefonu: 32 20 77</w:t>
      </w:r>
      <w:r>
        <w:rPr>
          <w:rFonts w:ascii="Times New Roman" w:eastAsia="Times New Roman" w:hAnsi="Times New Roman" w:cs="Times New Roman"/>
          <w:iCs/>
          <w:lang w:eastAsia="ar-SA"/>
        </w:rPr>
        <w:t> </w:t>
      </w:r>
      <w:r w:rsidRPr="001B0FA3">
        <w:rPr>
          <w:rFonts w:ascii="Times New Roman" w:eastAsia="Times New Roman" w:hAnsi="Times New Roman" w:cs="Times New Roman"/>
          <w:iCs/>
          <w:lang w:eastAsia="ar-SA"/>
        </w:rPr>
        <w:t>523.</w:t>
      </w:r>
    </w:p>
    <w:p w:rsidR="002F79BB" w:rsidRPr="001B0FA3" w:rsidRDefault="00DC475C" w:rsidP="002F79BB">
      <w:pPr>
        <w:pStyle w:val="Akapitzlist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</w:rPr>
      </w:pPr>
      <w:r w:rsidRPr="001B0FA3">
        <w:rPr>
          <w:rFonts w:ascii="Times New Roman" w:eastAsia="Times New Roman" w:hAnsi="Times New Roman" w:cs="Times New Roman"/>
          <w:iCs/>
          <w:lang w:eastAsia="ar-SA"/>
        </w:rPr>
        <w:t>Od niniejszej decyzji służy stronom odwołanie do Ministra Rozwoju, za pośrednictwem Wojewody Śląskiego, w terminie:</w:t>
      </w:r>
    </w:p>
    <w:p w:rsidR="002F79BB" w:rsidRPr="001B0FA3" w:rsidRDefault="00DC475C" w:rsidP="002F79BB">
      <w:pPr>
        <w:numPr>
          <w:ilvl w:val="0"/>
          <w:numId w:val="1"/>
        </w:numPr>
        <w:suppressAutoHyphens w:val="0"/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1B0FA3">
        <w:rPr>
          <w:rFonts w:ascii="Times New Roman" w:eastAsia="Times New Roman" w:hAnsi="Times New Roman" w:cs="Times New Roman"/>
          <w:iCs/>
          <w:lang w:eastAsia="ar-SA"/>
        </w:rPr>
        <w:t>7 dni od jej doręczenia – wnioskodawcy,</w:t>
      </w:r>
    </w:p>
    <w:p w:rsidR="002F79BB" w:rsidRPr="004C13DA" w:rsidRDefault="00DC475C" w:rsidP="002F79BB">
      <w:pPr>
        <w:numPr>
          <w:ilvl w:val="0"/>
          <w:numId w:val="1"/>
        </w:numPr>
        <w:suppressAutoHyphens w:val="0"/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color w:val="000000"/>
          <w:lang w:val="cs-CZ"/>
        </w:rPr>
      </w:pPr>
      <w:r w:rsidRPr="001B0FA3">
        <w:rPr>
          <w:rFonts w:ascii="Times New Roman" w:eastAsia="Times New Roman" w:hAnsi="Times New Roman" w:cs="Times New Roman"/>
          <w:iCs/>
          <w:lang w:eastAsia="ar-SA"/>
        </w:rPr>
        <w:t xml:space="preserve">14 dni od dnia doręczenia publicznego </w:t>
      </w:r>
      <w:r w:rsidRPr="004C13DA">
        <w:rPr>
          <w:rFonts w:ascii="Times New Roman" w:eastAsia="Times New Roman" w:hAnsi="Times New Roman" w:cs="Times New Roman"/>
          <w:iCs/>
          <w:lang w:eastAsia="ar-SA"/>
        </w:rPr>
        <w:t>ogłoszenia* - pozostałym stronom.</w:t>
      </w:r>
    </w:p>
    <w:p w:rsidR="002F79BB" w:rsidRPr="004C13DA" w:rsidRDefault="00DC475C" w:rsidP="002F79BB">
      <w:pPr>
        <w:pStyle w:val="Akapitzlist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4C13DA">
        <w:rPr>
          <w:rFonts w:ascii="Times New Roman" w:eastAsia="Times New Roman" w:hAnsi="Times New Roman" w:cs="Times New Roman"/>
          <w:iCs/>
          <w:lang w:eastAsia="ar-SA"/>
        </w:rPr>
        <w:t xml:space="preserve">W trakcie biegu terminu do wniesienia odwołania strony mogą zrzec się prawa do wniesienia odwołania wobec organu administracji publicznej, który wydał decyzję (art. 127a § 1 k.p.a.). Jeżeli oświadczenie o zrzeczeniu się prawa do wniesienia odwołania wniosą wszystkie strony postępowania, z dniem doręczenia organowi administracji publicznej tego oświadczenia przez ostatnią ze stron postępowania, decyzja staje się ostateczna </w:t>
      </w:r>
      <w:r w:rsidRPr="004C13DA">
        <w:rPr>
          <w:rFonts w:ascii="Times New Roman" w:eastAsia="Times New Roman" w:hAnsi="Times New Roman" w:cs="Times New Roman"/>
          <w:iCs/>
          <w:lang w:eastAsia="ar-SA"/>
        </w:rPr>
        <w:br/>
        <w:t>i prawomocna (art. 127a § 2 k.p.a.), zatem nie ma możliwości zaskarżenia jej do Wojewódzkiego Sądu Administracyjnego.</w:t>
      </w:r>
    </w:p>
    <w:p w:rsidR="002F79BB" w:rsidRPr="00672857" w:rsidRDefault="00DC475C" w:rsidP="002F79BB">
      <w:pPr>
        <w:pStyle w:val="Akapitzlist"/>
        <w:numPr>
          <w:ilvl w:val="0"/>
          <w:numId w:val="3"/>
        </w:numPr>
        <w:spacing w:after="0" w:line="240" w:lineRule="auto"/>
        <w:ind w:left="0" w:right="-284" w:hanging="284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C13DA">
        <w:rPr>
          <w:rFonts w:ascii="Times New Roman" w:eastAsia="Times New Roman" w:hAnsi="Times New Roman" w:cs="Times New Roman"/>
          <w:iCs/>
          <w:lang w:eastAsia="ar-SA"/>
        </w:rPr>
        <w:t>Odwołanie powinno zawierać zarzuty odnoszące się do</w:t>
      </w:r>
      <w:r w:rsidRPr="001B0FA3">
        <w:rPr>
          <w:rFonts w:ascii="Times New Roman" w:eastAsia="Times New Roman" w:hAnsi="Times New Roman" w:cs="Times New Roman"/>
          <w:iCs/>
          <w:lang w:eastAsia="ar-SA"/>
        </w:rPr>
        <w:t xml:space="preserve"> decyzji, istotę i zakres żądania będącego przedmiotem </w:t>
      </w:r>
      <w:r w:rsidRPr="00672857">
        <w:rPr>
          <w:rFonts w:ascii="Times New Roman" w:eastAsia="Times New Roman" w:hAnsi="Times New Roman" w:cs="Times New Roman"/>
          <w:iCs/>
          <w:lang w:eastAsia="ar-SA"/>
        </w:rPr>
        <w:t>odwołania oraz wskazywać dowody uzasadniające to żądanie.</w:t>
      </w:r>
    </w:p>
    <w:p w:rsidR="002F79BB" w:rsidRPr="00672857" w:rsidRDefault="00216D02" w:rsidP="002F79BB">
      <w:pPr>
        <w:pStyle w:val="Akapitzlist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:rsidR="002F79BB" w:rsidRPr="00CF58A6" w:rsidRDefault="00DC475C" w:rsidP="002F79BB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F58A6">
        <w:rPr>
          <w:rFonts w:ascii="Times New Roman" w:eastAsia="Calibri" w:hAnsi="Times New Roman" w:cs="Times New Roman"/>
          <w:color w:val="000000" w:themeColor="text1"/>
        </w:rPr>
        <w:t>Z up. WOJEWODY ŚLĄSKIEGO</w:t>
      </w:r>
    </w:p>
    <w:p w:rsidR="002F79BB" w:rsidRPr="00CF58A6" w:rsidRDefault="00216D02" w:rsidP="002F79BB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2F79BB" w:rsidRPr="00CF58A6" w:rsidRDefault="00DC475C" w:rsidP="002F79BB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F58A6">
        <w:rPr>
          <w:rFonts w:ascii="Times New Roman" w:eastAsia="Calibri" w:hAnsi="Times New Roman" w:cs="Times New Roman"/>
          <w:color w:val="000000" w:themeColor="text1"/>
        </w:rPr>
        <w:t>Joanna Lanczek</w:t>
      </w:r>
    </w:p>
    <w:p w:rsidR="002F79BB" w:rsidRPr="00CF58A6" w:rsidRDefault="00DC475C" w:rsidP="002F79BB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F58A6">
        <w:rPr>
          <w:rFonts w:ascii="Times New Roman" w:eastAsia="Calibri" w:hAnsi="Times New Roman" w:cs="Times New Roman"/>
          <w:color w:val="000000" w:themeColor="text1"/>
        </w:rPr>
        <w:t>Kierownik Oddziału ds. Inwestycji Publicznych</w:t>
      </w:r>
    </w:p>
    <w:p w:rsidR="002F79BB" w:rsidRPr="00CF58A6" w:rsidRDefault="00DC475C" w:rsidP="002F79BB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CF58A6">
        <w:rPr>
          <w:rFonts w:ascii="Times New Roman" w:eastAsia="Calibri" w:hAnsi="Times New Roman" w:cs="Times New Roman"/>
          <w:color w:val="000000" w:themeColor="text1"/>
        </w:rPr>
        <w:t>w Wydziale Infrastruktury</w:t>
      </w:r>
    </w:p>
    <w:p w:rsidR="0003568E" w:rsidRPr="004C13DA" w:rsidRDefault="00DC475C" w:rsidP="004C13DA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CB0CA5">
        <w:rPr>
          <w:rFonts w:ascii="Times New Roman" w:eastAsia="Calibri" w:hAnsi="Times New Roman" w:cs="Times New Roman"/>
          <w:i/>
          <w:color w:val="000000" w:themeColor="text1"/>
        </w:rPr>
        <w:t>/podpisano elektronicznie/</w:t>
      </w:r>
    </w:p>
    <w:sectPr w:rsidR="0003568E" w:rsidRPr="004C13DA" w:rsidSect="00AC3895">
      <w:footerReference w:type="default" r:id="rId8"/>
      <w:headerReference w:type="first" r:id="rId9"/>
      <w:footerReference w:type="first" r:id="rId10"/>
      <w:pgSz w:w="11906" w:h="16838" w:code="9"/>
      <w:pgMar w:top="1304" w:right="1134" w:bottom="964" w:left="1134" w:header="567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02" w:rsidRDefault="00216D02">
      <w:pPr>
        <w:spacing w:after="0" w:line="240" w:lineRule="auto"/>
      </w:pPr>
      <w:r>
        <w:separator/>
      </w:r>
    </w:p>
  </w:endnote>
  <w:endnote w:type="continuationSeparator" w:id="0">
    <w:p w:rsidR="00216D02" w:rsidRDefault="0021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A3" w:rsidRPr="004D13A3" w:rsidRDefault="00DC475C" w:rsidP="004D13A3">
    <w:pPr>
      <w:pStyle w:val="Stopka"/>
      <w:jc w:val="center"/>
      <w:rPr>
        <w:sz w:val="20"/>
        <w:szCs w:val="20"/>
      </w:rPr>
    </w:pPr>
    <w:r w:rsidRPr="004D13A3">
      <w:rPr>
        <w:sz w:val="20"/>
        <w:szCs w:val="20"/>
      </w:rPr>
      <w:t xml:space="preserve">Strona </w:t>
    </w:r>
    <w:r w:rsidRPr="004D13A3">
      <w:rPr>
        <w:bCs/>
        <w:sz w:val="20"/>
        <w:szCs w:val="20"/>
      </w:rPr>
      <w:fldChar w:fldCharType="begin"/>
    </w:r>
    <w:r w:rsidRPr="004D13A3">
      <w:rPr>
        <w:bCs/>
        <w:sz w:val="20"/>
        <w:szCs w:val="20"/>
      </w:rPr>
      <w:instrText>PAGE  \* Arabic  \* MERGEFORMAT</w:instrText>
    </w:r>
    <w:r w:rsidRPr="004D13A3">
      <w:rPr>
        <w:bCs/>
        <w:sz w:val="20"/>
        <w:szCs w:val="20"/>
      </w:rPr>
      <w:fldChar w:fldCharType="separate"/>
    </w:r>
    <w:r w:rsidR="00EC2E6F">
      <w:rPr>
        <w:bCs/>
        <w:noProof/>
        <w:sz w:val="20"/>
        <w:szCs w:val="20"/>
      </w:rPr>
      <w:t>2</w:t>
    </w:r>
    <w:r w:rsidRPr="004D13A3">
      <w:rPr>
        <w:bCs/>
        <w:sz w:val="20"/>
        <w:szCs w:val="20"/>
      </w:rPr>
      <w:fldChar w:fldCharType="end"/>
    </w:r>
    <w:r w:rsidRPr="004D13A3">
      <w:rPr>
        <w:sz w:val="20"/>
        <w:szCs w:val="20"/>
      </w:rPr>
      <w:t xml:space="preserve"> z </w:t>
    </w:r>
    <w:r w:rsidRPr="004D13A3">
      <w:rPr>
        <w:bCs/>
        <w:sz w:val="20"/>
        <w:szCs w:val="20"/>
      </w:rPr>
      <w:fldChar w:fldCharType="begin"/>
    </w:r>
    <w:r w:rsidRPr="004D13A3">
      <w:rPr>
        <w:bCs/>
        <w:sz w:val="20"/>
        <w:szCs w:val="20"/>
      </w:rPr>
      <w:instrText>NUMPAGES  \* Arabic  \* MERGEFORMAT</w:instrText>
    </w:r>
    <w:r w:rsidRPr="004D13A3">
      <w:rPr>
        <w:bCs/>
        <w:sz w:val="20"/>
        <w:szCs w:val="20"/>
      </w:rPr>
      <w:fldChar w:fldCharType="separate"/>
    </w:r>
    <w:r w:rsidR="00EC2E6F">
      <w:rPr>
        <w:bCs/>
        <w:noProof/>
        <w:sz w:val="20"/>
        <w:szCs w:val="20"/>
      </w:rPr>
      <w:t>4</w:t>
    </w:r>
    <w:r w:rsidRPr="004D13A3"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47" w:rsidRPr="004D13A3" w:rsidRDefault="00DC475C" w:rsidP="006A0047">
    <w:pPr>
      <w:pStyle w:val="Stopka"/>
      <w:jc w:val="center"/>
      <w:rPr>
        <w:sz w:val="20"/>
        <w:szCs w:val="20"/>
      </w:rPr>
    </w:pPr>
    <w:r w:rsidRPr="004D13A3">
      <w:rPr>
        <w:sz w:val="20"/>
        <w:szCs w:val="20"/>
      </w:rPr>
      <w:t xml:space="preserve">Strona </w:t>
    </w:r>
    <w:r w:rsidRPr="004D13A3">
      <w:rPr>
        <w:bCs/>
        <w:sz w:val="20"/>
        <w:szCs w:val="20"/>
      </w:rPr>
      <w:fldChar w:fldCharType="begin"/>
    </w:r>
    <w:r w:rsidRPr="004D13A3">
      <w:rPr>
        <w:bCs/>
        <w:sz w:val="20"/>
        <w:szCs w:val="20"/>
      </w:rPr>
      <w:instrText>PAGE  \* Arabic  \* MERGEFORMAT</w:instrText>
    </w:r>
    <w:r w:rsidRPr="004D13A3">
      <w:rPr>
        <w:bCs/>
        <w:sz w:val="20"/>
        <w:szCs w:val="20"/>
      </w:rPr>
      <w:fldChar w:fldCharType="separate"/>
    </w:r>
    <w:r w:rsidR="00EC2E6F">
      <w:rPr>
        <w:bCs/>
        <w:noProof/>
        <w:sz w:val="20"/>
        <w:szCs w:val="20"/>
      </w:rPr>
      <w:t>1</w:t>
    </w:r>
    <w:r w:rsidRPr="004D13A3">
      <w:rPr>
        <w:bCs/>
        <w:sz w:val="20"/>
        <w:szCs w:val="20"/>
      </w:rPr>
      <w:fldChar w:fldCharType="end"/>
    </w:r>
    <w:r w:rsidRPr="004D13A3">
      <w:rPr>
        <w:sz w:val="20"/>
        <w:szCs w:val="20"/>
      </w:rPr>
      <w:t xml:space="preserve"> z </w:t>
    </w:r>
    <w:r w:rsidRPr="004D13A3">
      <w:rPr>
        <w:bCs/>
        <w:sz w:val="20"/>
        <w:szCs w:val="20"/>
      </w:rPr>
      <w:fldChar w:fldCharType="begin"/>
    </w:r>
    <w:r w:rsidRPr="004D13A3">
      <w:rPr>
        <w:bCs/>
        <w:sz w:val="20"/>
        <w:szCs w:val="20"/>
      </w:rPr>
      <w:instrText>NUMPAGES  \* Arabic  \* MERGEFORMAT</w:instrText>
    </w:r>
    <w:r w:rsidRPr="004D13A3">
      <w:rPr>
        <w:bCs/>
        <w:sz w:val="20"/>
        <w:szCs w:val="20"/>
      </w:rPr>
      <w:fldChar w:fldCharType="separate"/>
    </w:r>
    <w:r w:rsidR="00EC2E6F">
      <w:rPr>
        <w:bCs/>
        <w:noProof/>
        <w:sz w:val="20"/>
        <w:szCs w:val="20"/>
      </w:rPr>
      <w:t>4</w:t>
    </w:r>
    <w:r w:rsidRPr="004D13A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02" w:rsidRDefault="00216D02">
      <w:pPr>
        <w:spacing w:after="0" w:line="240" w:lineRule="auto"/>
      </w:pPr>
      <w:r>
        <w:separator/>
      </w:r>
    </w:p>
  </w:footnote>
  <w:footnote w:type="continuationSeparator" w:id="0">
    <w:p w:rsidR="00216D02" w:rsidRDefault="0021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363" w:rsidRDefault="00DC475C" w:rsidP="001D107C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object w:dxaOrig="18573" w:dyaOrig="18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4.25pt;height:42.75pt" coordsize="">
          <v:imagedata r:id="rId1" o:title=""/>
          <v:path o:connecttype="segments"/>
        </v:shape>
        <o:OLEObject Type="Embed" ProgID="Paint.Picture" ShapeID="ole_rId1" DrawAspect="Content" ObjectID="_1664027267" r:id="rId2"/>
      </w:object>
    </w:r>
  </w:p>
  <w:p w:rsidR="00C11363" w:rsidRPr="001D107C" w:rsidRDefault="00DC475C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 w:rsidRPr="001D107C">
      <w:rPr>
        <w:rFonts w:ascii="Times New Roman" w:hAnsi="Times New Roman" w:cs="Times New Roman"/>
      </w:rPr>
      <w:t>06-10-2020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7B8"/>
    <w:multiLevelType w:val="hybridMultilevel"/>
    <w:tmpl w:val="92B81E5E"/>
    <w:lvl w:ilvl="0" w:tplc="26667BE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D0C22F42" w:tentative="1">
      <w:start w:val="1"/>
      <w:numFmt w:val="lowerLetter"/>
      <w:lvlText w:val="%2."/>
      <w:lvlJc w:val="left"/>
      <w:pPr>
        <w:ind w:left="796" w:hanging="360"/>
      </w:pPr>
    </w:lvl>
    <w:lvl w:ilvl="2" w:tplc="61B4CD38" w:tentative="1">
      <w:start w:val="1"/>
      <w:numFmt w:val="lowerRoman"/>
      <w:lvlText w:val="%3."/>
      <w:lvlJc w:val="right"/>
      <w:pPr>
        <w:ind w:left="1516" w:hanging="180"/>
      </w:pPr>
    </w:lvl>
    <w:lvl w:ilvl="3" w:tplc="8716D700" w:tentative="1">
      <w:start w:val="1"/>
      <w:numFmt w:val="decimal"/>
      <w:lvlText w:val="%4."/>
      <w:lvlJc w:val="left"/>
      <w:pPr>
        <w:ind w:left="2236" w:hanging="360"/>
      </w:pPr>
    </w:lvl>
    <w:lvl w:ilvl="4" w:tplc="9592A410" w:tentative="1">
      <w:start w:val="1"/>
      <w:numFmt w:val="lowerLetter"/>
      <w:lvlText w:val="%5."/>
      <w:lvlJc w:val="left"/>
      <w:pPr>
        <w:ind w:left="2956" w:hanging="360"/>
      </w:pPr>
    </w:lvl>
    <w:lvl w:ilvl="5" w:tplc="9E28F942" w:tentative="1">
      <w:start w:val="1"/>
      <w:numFmt w:val="lowerRoman"/>
      <w:lvlText w:val="%6."/>
      <w:lvlJc w:val="right"/>
      <w:pPr>
        <w:ind w:left="3676" w:hanging="180"/>
      </w:pPr>
    </w:lvl>
    <w:lvl w:ilvl="6" w:tplc="09009716" w:tentative="1">
      <w:start w:val="1"/>
      <w:numFmt w:val="decimal"/>
      <w:lvlText w:val="%7."/>
      <w:lvlJc w:val="left"/>
      <w:pPr>
        <w:ind w:left="4396" w:hanging="360"/>
      </w:pPr>
    </w:lvl>
    <w:lvl w:ilvl="7" w:tplc="CE46DA32" w:tentative="1">
      <w:start w:val="1"/>
      <w:numFmt w:val="lowerLetter"/>
      <w:lvlText w:val="%8."/>
      <w:lvlJc w:val="left"/>
      <w:pPr>
        <w:ind w:left="5116" w:hanging="360"/>
      </w:pPr>
    </w:lvl>
    <w:lvl w:ilvl="8" w:tplc="53E6FA9E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1406DD2"/>
    <w:multiLevelType w:val="hybridMultilevel"/>
    <w:tmpl w:val="0FC6A186"/>
    <w:lvl w:ilvl="0" w:tplc="332A519E">
      <w:start w:val="1"/>
      <w:numFmt w:val="decimal"/>
      <w:lvlText w:val="%1."/>
      <w:lvlJc w:val="left"/>
      <w:pPr>
        <w:ind w:left="-208" w:hanging="360"/>
      </w:pPr>
      <w:rPr>
        <w:rFonts w:hint="default"/>
        <w:b/>
        <w:strike w:val="0"/>
      </w:rPr>
    </w:lvl>
    <w:lvl w:ilvl="1" w:tplc="78501C6A" w:tentative="1">
      <w:start w:val="1"/>
      <w:numFmt w:val="lowerLetter"/>
      <w:lvlText w:val="%2."/>
      <w:lvlJc w:val="left"/>
      <w:pPr>
        <w:ind w:left="1156" w:hanging="360"/>
      </w:pPr>
    </w:lvl>
    <w:lvl w:ilvl="2" w:tplc="7D383C10" w:tentative="1">
      <w:start w:val="1"/>
      <w:numFmt w:val="lowerRoman"/>
      <w:lvlText w:val="%3."/>
      <w:lvlJc w:val="right"/>
      <w:pPr>
        <w:ind w:left="1876" w:hanging="180"/>
      </w:pPr>
    </w:lvl>
    <w:lvl w:ilvl="3" w:tplc="C04C99E2" w:tentative="1">
      <w:start w:val="1"/>
      <w:numFmt w:val="decimal"/>
      <w:lvlText w:val="%4."/>
      <w:lvlJc w:val="left"/>
      <w:pPr>
        <w:ind w:left="2596" w:hanging="360"/>
      </w:pPr>
    </w:lvl>
    <w:lvl w:ilvl="4" w:tplc="FE4A0F82" w:tentative="1">
      <w:start w:val="1"/>
      <w:numFmt w:val="lowerLetter"/>
      <w:lvlText w:val="%5."/>
      <w:lvlJc w:val="left"/>
      <w:pPr>
        <w:ind w:left="3316" w:hanging="360"/>
      </w:pPr>
    </w:lvl>
    <w:lvl w:ilvl="5" w:tplc="6732434A" w:tentative="1">
      <w:start w:val="1"/>
      <w:numFmt w:val="lowerRoman"/>
      <w:lvlText w:val="%6."/>
      <w:lvlJc w:val="right"/>
      <w:pPr>
        <w:ind w:left="4036" w:hanging="180"/>
      </w:pPr>
    </w:lvl>
    <w:lvl w:ilvl="6" w:tplc="CAFE0BCA" w:tentative="1">
      <w:start w:val="1"/>
      <w:numFmt w:val="decimal"/>
      <w:lvlText w:val="%7."/>
      <w:lvlJc w:val="left"/>
      <w:pPr>
        <w:ind w:left="4756" w:hanging="360"/>
      </w:pPr>
    </w:lvl>
    <w:lvl w:ilvl="7" w:tplc="B2A021EA" w:tentative="1">
      <w:start w:val="1"/>
      <w:numFmt w:val="lowerLetter"/>
      <w:lvlText w:val="%8."/>
      <w:lvlJc w:val="left"/>
      <w:pPr>
        <w:ind w:left="5476" w:hanging="360"/>
      </w:pPr>
    </w:lvl>
    <w:lvl w:ilvl="8" w:tplc="90A8EF2E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4BE6AA6"/>
    <w:multiLevelType w:val="hybridMultilevel"/>
    <w:tmpl w:val="5D784600"/>
    <w:lvl w:ilvl="0" w:tplc="B820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766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ED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0A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63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0C1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00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AD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563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F51A1"/>
    <w:multiLevelType w:val="hybridMultilevel"/>
    <w:tmpl w:val="9C1C8430"/>
    <w:lvl w:ilvl="0" w:tplc="A0FA4850">
      <w:start w:val="3"/>
      <w:numFmt w:val="decimal"/>
      <w:lvlText w:val="%1."/>
      <w:lvlJc w:val="left"/>
      <w:pPr>
        <w:ind w:left="77" w:hanging="360"/>
      </w:pPr>
      <w:rPr>
        <w:rFonts w:hint="default"/>
        <w:b/>
        <w:i w:val="0"/>
        <w:u w:val="none"/>
      </w:rPr>
    </w:lvl>
    <w:lvl w:ilvl="1" w:tplc="AD46F798" w:tentative="1">
      <w:start w:val="1"/>
      <w:numFmt w:val="lowerLetter"/>
      <w:lvlText w:val="%2."/>
      <w:lvlJc w:val="left"/>
      <w:pPr>
        <w:ind w:left="1440" w:hanging="360"/>
      </w:pPr>
    </w:lvl>
    <w:lvl w:ilvl="2" w:tplc="347E2482" w:tentative="1">
      <w:start w:val="1"/>
      <w:numFmt w:val="lowerRoman"/>
      <w:lvlText w:val="%3."/>
      <w:lvlJc w:val="right"/>
      <w:pPr>
        <w:ind w:left="2160" w:hanging="180"/>
      </w:pPr>
    </w:lvl>
    <w:lvl w:ilvl="3" w:tplc="1A0A3F2C" w:tentative="1">
      <w:start w:val="1"/>
      <w:numFmt w:val="decimal"/>
      <w:lvlText w:val="%4."/>
      <w:lvlJc w:val="left"/>
      <w:pPr>
        <w:ind w:left="2880" w:hanging="360"/>
      </w:pPr>
    </w:lvl>
    <w:lvl w:ilvl="4" w:tplc="107839CA" w:tentative="1">
      <w:start w:val="1"/>
      <w:numFmt w:val="lowerLetter"/>
      <w:lvlText w:val="%5."/>
      <w:lvlJc w:val="left"/>
      <w:pPr>
        <w:ind w:left="3600" w:hanging="360"/>
      </w:pPr>
    </w:lvl>
    <w:lvl w:ilvl="5" w:tplc="5A9C96EE" w:tentative="1">
      <w:start w:val="1"/>
      <w:numFmt w:val="lowerRoman"/>
      <w:lvlText w:val="%6."/>
      <w:lvlJc w:val="right"/>
      <w:pPr>
        <w:ind w:left="4320" w:hanging="180"/>
      </w:pPr>
    </w:lvl>
    <w:lvl w:ilvl="6" w:tplc="A498D8AE" w:tentative="1">
      <w:start w:val="1"/>
      <w:numFmt w:val="decimal"/>
      <w:lvlText w:val="%7."/>
      <w:lvlJc w:val="left"/>
      <w:pPr>
        <w:ind w:left="5040" w:hanging="360"/>
      </w:pPr>
    </w:lvl>
    <w:lvl w:ilvl="7" w:tplc="39062BB4" w:tentative="1">
      <w:start w:val="1"/>
      <w:numFmt w:val="lowerLetter"/>
      <w:lvlText w:val="%8."/>
      <w:lvlJc w:val="left"/>
      <w:pPr>
        <w:ind w:left="5760" w:hanging="360"/>
      </w:pPr>
    </w:lvl>
    <w:lvl w:ilvl="8" w:tplc="E3D295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4F"/>
    <w:rsid w:val="00216D02"/>
    <w:rsid w:val="0057643C"/>
    <w:rsid w:val="00DC475C"/>
    <w:rsid w:val="00EC2E6F"/>
    <w:rsid w:val="00E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1C498-23A0-44F8-A359-3BB55E0F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AA2DD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qFormat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qFormat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header"/>
    <w:basedOn w:val="Domylnie"/>
    <w:next w:val="Tekstpodstawowy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qFormat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3C8"/>
    <w:rPr>
      <w:b/>
      <w:bCs/>
    </w:rPr>
  </w:style>
  <w:style w:type="paragraph" w:styleId="Akapitzlist">
    <w:name w:val="List Paragraph"/>
    <w:aliases w:val="Akapit z listą31,BulletC,Bullets,Kolorowa lista — akcent 11,List Paragraph1,List Paragraph_0,Numerowanie,Obiekt,Wyliczanie,Wypunktowanie,normalny,normalny tekst"/>
    <w:basedOn w:val="Normalny"/>
    <w:link w:val="AkapitzlistZnak"/>
    <w:uiPriority w:val="34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10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A2D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Akapitzlist"/>
    <w:uiPriority w:val="34"/>
    <w:locked/>
    <w:rsid w:val="006A0047"/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2BBB-A4EC-4C65-8840-98FE674D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1467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Marta Molęda</cp:lastModifiedBy>
  <cp:revision>2</cp:revision>
  <cp:lastPrinted>2017-07-10T07:27:00Z</cp:lastPrinted>
  <dcterms:created xsi:type="dcterms:W3CDTF">2020-10-12T15:01:00Z</dcterms:created>
  <dcterms:modified xsi:type="dcterms:W3CDTF">2020-10-12T15:01:00Z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