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E706" w14:textId="77777777" w:rsidR="00A77B3E" w:rsidRDefault="00000000">
      <w:pPr>
        <w:jc w:val="center"/>
        <w:rPr>
          <w:b/>
          <w:caps/>
        </w:rPr>
      </w:pPr>
      <w:r>
        <w:rPr>
          <w:b/>
          <w:caps/>
        </w:rPr>
        <w:t>Uchwała Nr XVIII/133/2025</w:t>
      </w:r>
      <w:r>
        <w:rPr>
          <w:b/>
          <w:caps/>
        </w:rPr>
        <w:br/>
        <w:t>Rady Miejskiej w Sławkowie</w:t>
      </w:r>
    </w:p>
    <w:p w14:paraId="3559B9DB" w14:textId="77777777" w:rsidR="00A77B3E" w:rsidRDefault="00000000">
      <w:pPr>
        <w:spacing w:before="280" w:after="280"/>
        <w:jc w:val="center"/>
        <w:rPr>
          <w:b/>
          <w:caps/>
        </w:rPr>
      </w:pPr>
      <w:r>
        <w:t>z dnia 18 września 2025 r.</w:t>
      </w:r>
    </w:p>
    <w:p w14:paraId="4E3BD6E2" w14:textId="77777777" w:rsidR="00A77B3E" w:rsidRDefault="00000000">
      <w:pPr>
        <w:keepNext/>
        <w:spacing w:after="480"/>
        <w:jc w:val="center"/>
      </w:pPr>
      <w:r>
        <w:rPr>
          <w:b/>
        </w:rPr>
        <w:t>w sprawie rozpatrzenia petycji</w:t>
      </w:r>
    </w:p>
    <w:p w14:paraId="68AF6B26" w14:textId="77777777" w:rsidR="00A77B3E" w:rsidRDefault="00000000">
      <w:pPr>
        <w:keepLines/>
        <w:spacing w:before="120" w:after="120"/>
        <w:ind w:firstLine="227"/>
        <w:rPr>
          <w:color w:val="000000"/>
          <w:u w:color="000000"/>
        </w:rPr>
      </w:pPr>
      <w:r>
        <w:t xml:space="preserve">Na podstawie art. 18 ust. 2 pkt 15 ustawy z dnia 8 marca 1990 r. o samorządzie gminnym (Dz. U. z 2025 r., poz. 1153) oraz art. 9 ust. 2 i art. 13 ust. 1 ustawy z dnia 11 lipca 2014 r. o petycjach (Dz. U. z 2018 r., poz. 870) </w:t>
      </w:r>
      <w:r>
        <w:rPr>
          <w:b/>
          <w:color w:val="000000"/>
          <w:u w:color="000000"/>
        </w:rPr>
        <w:t>Rada Miejska w Sławkowie</w:t>
      </w:r>
    </w:p>
    <w:p w14:paraId="2CAE82D9" w14:textId="77777777" w:rsidR="00A77B3E" w:rsidRDefault="00000000">
      <w:pPr>
        <w:spacing w:before="120" w:after="120"/>
        <w:jc w:val="center"/>
        <w:rPr>
          <w:b/>
          <w:color w:val="000000"/>
          <w:u w:color="000000"/>
        </w:rPr>
      </w:pPr>
      <w:r>
        <w:rPr>
          <w:b/>
          <w:color w:val="000000"/>
          <w:u w:color="000000"/>
        </w:rPr>
        <w:t>uchwala</w:t>
      </w:r>
    </w:p>
    <w:p w14:paraId="3DDE83D7" w14:textId="1DEE537C" w:rsidR="00A77B3E" w:rsidRDefault="00000000">
      <w:pPr>
        <w:keepLines/>
        <w:spacing w:before="120" w:after="120"/>
        <w:ind w:firstLine="340"/>
        <w:rPr>
          <w:color w:val="000000"/>
          <w:u w:color="000000"/>
        </w:rPr>
      </w:pPr>
      <w:r>
        <w:rPr>
          <w:b/>
        </w:rPr>
        <w:t>§ 1. </w:t>
      </w:r>
      <w:r>
        <w:rPr>
          <w:color w:val="000000"/>
          <w:u w:color="000000"/>
        </w:rPr>
        <w:t xml:space="preserve">Uznać petycję Pana </w:t>
      </w:r>
      <w:r w:rsidR="00A70C58">
        <w:rPr>
          <w:i/>
          <w:iCs/>
          <w:color w:val="000000"/>
          <w:u w:color="000000"/>
        </w:rPr>
        <w:t>anonimizacja danych</w:t>
      </w:r>
      <w:r>
        <w:rPr>
          <w:color w:val="000000"/>
          <w:u w:color="000000"/>
        </w:rPr>
        <w:t xml:space="preserve"> za bezzasadną.</w:t>
      </w:r>
    </w:p>
    <w:p w14:paraId="1C74B41C" w14:textId="77777777" w:rsidR="00A77B3E" w:rsidRDefault="00000000">
      <w:pPr>
        <w:keepLines/>
        <w:spacing w:before="120" w:after="120"/>
        <w:ind w:firstLine="340"/>
        <w:rPr>
          <w:color w:val="000000"/>
          <w:u w:color="000000"/>
        </w:rPr>
      </w:pPr>
      <w:r>
        <w:rPr>
          <w:b/>
        </w:rPr>
        <w:t>§ 2. </w:t>
      </w:r>
      <w:r>
        <w:rPr>
          <w:color w:val="000000"/>
          <w:u w:color="000000"/>
        </w:rPr>
        <w:t>Uzasadnienie rozpatrzenia petycji stanowi załącznik do uchwały.</w:t>
      </w:r>
    </w:p>
    <w:p w14:paraId="442E6A51" w14:textId="77777777" w:rsidR="00A77B3E" w:rsidRDefault="00000000">
      <w:pPr>
        <w:keepLines/>
        <w:spacing w:before="120" w:after="120"/>
        <w:ind w:firstLine="340"/>
        <w:rPr>
          <w:color w:val="000000"/>
          <w:u w:color="000000"/>
        </w:rPr>
      </w:pPr>
      <w:r>
        <w:rPr>
          <w:b/>
        </w:rPr>
        <w:t>§ 3. </w:t>
      </w:r>
      <w:r>
        <w:rPr>
          <w:color w:val="000000"/>
          <w:u w:color="000000"/>
        </w:rPr>
        <w:t>Wykonanie uchwały powierza się Przewodniczącemu Rady Miejskiej w Sławkowie, zobowiązując go do poinformowania osoby składającej petycję o sposobie jej załatwienia.</w:t>
      </w:r>
    </w:p>
    <w:p w14:paraId="43B17E97" w14:textId="77777777" w:rsidR="00A77B3E" w:rsidRDefault="00000000">
      <w:pPr>
        <w:keepNext/>
        <w:keepLines/>
        <w:spacing w:before="120" w:after="120"/>
        <w:ind w:firstLine="340"/>
        <w:rPr>
          <w:color w:val="000000"/>
          <w:u w:color="000000"/>
        </w:rPr>
      </w:pPr>
      <w:r>
        <w:rPr>
          <w:b/>
        </w:rPr>
        <w:t>§ 4. </w:t>
      </w:r>
      <w:r>
        <w:rPr>
          <w:color w:val="000000"/>
          <w:u w:color="000000"/>
        </w:rPr>
        <w:t>Uchwała wchodzi w życie z dniem podjęcia.</w:t>
      </w:r>
    </w:p>
    <w:p w14:paraId="0B52468B" w14:textId="77777777" w:rsidR="00A77B3E" w:rsidRDefault="00000000">
      <w:pPr>
        <w:keepNext/>
        <w:keepLines/>
        <w:spacing w:before="240" w:after="240"/>
        <w:ind w:left="283" w:firstLine="227"/>
        <w:rPr>
          <w:color w:val="000000"/>
          <w:u w:color="000000"/>
        </w:rPr>
      </w:pPr>
      <w:r>
        <w:rPr>
          <w:color w:val="000000"/>
          <w:u w:color="000000"/>
        </w:rPr>
        <w:t> </w:t>
      </w:r>
    </w:p>
    <w:p w14:paraId="6E68F43F"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BF6E25" w14:paraId="1AC73CAC" w14:textId="77777777">
        <w:tc>
          <w:tcPr>
            <w:tcW w:w="2500" w:type="pct"/>
            <w:tcMar>
              <w:top w:w="0" w:type="dxa"/>
              <w:left w:w="0" w:type="dxa"/>
              <w:bottom w:w="0" w:type="dxa"/>
              <w:right w:w="0" w:type="dxa"/>
            </w:tcMar>
            <w:hideMark/>
          </w:tcPr>
          <w:p w14:paraId="4B6F061A" w14:textId="77777777" w:rsidR="00BF6E25" w:rsidRDefault="00BF6E25">
            <w:pPr>
              <w:keepNext/>
              <w:keepLines/>
              <w:jc w:val="left"/>
              <w:rPr>
                <w:color w:val="000000"/>
                <w:szCs w:val="22"/>
              </w:rPr>
            </w:pPr>
          </w:p>
        </w:tc>
        <w:tc>
          <w:tcPr>
            <w:tcW w:w="2500" w:type="pct"/>
            <w:tcMar>
              <w:top w:w="0" w:type="dxa"/>
              <w:left w:w="0" w:type="dxa"/>
              <w:bottom w:w="0" w:type="dxa"/>
              <w:right w:w="0" w:type="dxa"/>
            </w:tcMar>
            <w:hideMark/>
          </w:tcPr>
          <w:p w14:paraId="7D49FEF7" w14:textId="77777777" w:rsidR="00BF6E25" w:rsidRDefault="00000000">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mgr Łukasz Hofler</w:t>
            </w:r>
          </w:p>
        </w:tc>
      </w:tr>
    </w:tbl>
    <w:p w14:paraId="686F5E89" w14:textId="77777777" w:rsidR="00A77B3E" w:rsidRDefault="00A77B3E">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14:paraId="138A95A0" w14:textId="77777777" w:rsidR="00BF6E25" w:rsidRDefault="00BF6E25">
      <w:pPr>
        <w:jc w:val="left"/>
        <w:rPr>
          <w:color w:val="000000"/>
          <w:szCs w:val="20"/>
          <w:shd w:val="clear" w:color="auto" w:fill="FFFFFF"/>
          <w:lang w:val="x-none" w:eastAsia="en-US" w:bidi="ar-SA"/>
        </w:rPr>
      </w:pPr>
    </w:p>
    <w:p w14:paraId="469AC529" w14:textId="77777777" w:rsidR="00BF6E25"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3A8A8BEA" w14:textId="163B6CCE" w:rsidR="00BF6E25" w:rsidRDefault="00000000">
      <w:pPr>
        <w:spacing w:line="360" w:lineRule="auto"/>
        <w:rPr>
          <w:color w:val="000000"/>
          <w:szCs w:val="20"/>
          <w:u w:color="000000"/>
          <w:shd w:val="clear" w:color="auto" w:fill="FFFFFF"/>
        </w:rPr>
      </w:pPr>
      <w:r>
        <w:rPr>
          <w:color w:val="000000"/>
          <w:szCs w:val="20"/>
          <w:shd w:val="clear" w:color="auto" w:fill="FFFFFF"/>
        </w:rPr>
        <w:t xml:space="preserve"> </w:t>
      </w:r>
      <w:r>
        <w:rPr>
          <w:color w:val="000000"/>
          <w:szCs w:val="20"/>
          <w:shd w:val="clear" w:color="auto" w:fill="FFFFFF"/>
        </w:rPr>
        <w:tab/>
        <w:t xml:space="preserve">W dniu 24 lipca 2025 r. do Urzędu Miasta Sławkowa wpłynęła petycja Pana </w:t>
      </w:r>
      <w:r w:rsidR="00A70C58">
        <w:rPr>
          <w:i/>
          <w:iCs/>
          <w:color w:val="000000"/>
          <w:szCs w:val="20"/>
          <w:shd w:val="clear" w:color="auto" w:fill="FFFFFF"/>
        </w:rPr>
        <w:t xml:space="preserve">anonimizacja danych </w:t>
      </w:r>
      <w:r w:rsidR="00A70C58" w:rsidRPr="00A70C58">
        <w:rPr>
          <w:color w:val="000000"/>
          <w:szCs w:val="20"/>
          <w:shd w:val="clear" w:color="auto" w:fill="FFFFFF"/>
        </w:rPr>
        <w:t>d</w:t>
      </w:r>
      <w:r>
        <w:rPr>
          <w:color w:val="000000"/>
          <w:szCs w:val="20"/>
          <w:shd w:val="clear" w:color="auto" w:fill="FFFFFF"/>
        </w:rPr>
        <w:t>otycząca: w części 1</w:t>
      </w:r>
      <w:r>
        <w:rPr>
          <w:color w:val="000000"/>
          <w:szCs w:val="20"/>
          <w:u w:color="000000"/>
          <w:shd w:val="clear" w:color="auto" w:fill="FFFFFF"/>
          <w:lang w:val="x-none" w:eastAsia="en-US" w:bidi="ar-SA"/>
        </w:rPr>
        <w:t xml:space="preserve"> </w:t>
      </w:r>
      <w:r>
        <w:rPr>
          <w:color w:val="000000"/>
          <w:szCs w:val="20"/>
          <w:u w:color="000000"/>
          <w:shd w:val="clear" w:color="auto" w:fill="FFFFFF"/>
        </w:rPr>
        <w:t>z</w:t>
      </w:r>
      <w:r>
        <w:rPr>
          <w:color w:val="000000"/>
          <w:szCs w:val="20"/>
          <w:u w:color="000000"/>
          <w:shd w:val="clear" w:color="auto" w:fill="FFFFFF"/>
          <w:lang w:val="x-none" w:eastAsia="en-US" w:bidi="ar-SA"/>
        </w:rPr>
        <w:t xml:space="preserve">miany - </w:t>
      </w:r>
      <w:r>
        <w:rPr>
          <w:color w:val="000000"/>
          <w:szCs w:val="20"/>
          <w:u w:color="000000"/>
          <w:shd w:val="clear" w:color="auto" w:fill="FFFFFF"/>
        </w:rPr>
        <w:t>aktualizacji</w:t>
      </w:r>
      <w:r>
        <w:rPr>
          <w:color w:val="000000"/>
          <w:szCs w:val="20"/>
          <w:u w:color="000000"/>
          <w:shd w:val="clear" w:color="auto" w:fill="FFFFFF"/>
          <w:lang w:val="x-none" w:eastAsia="en-US" w:bidi="ar-SA"/>
        </w:rPr>
        <w:t xml:space="preserve"> prawa miejscowego w zakresie funkcjonowania</w:t>
      </w:r>
      <w:r>
        <w:rPr>
          <w:color w:val="000000"/>
          <w:szCs w:val="20"/>
          <w:u w:color="000000"/>
          <w:shd w:val="clear" w:color="auto" w:fill="FFFFFF"/>
        </w:rPr>
        <w:t xml:space="preserve"> </w:t>
      </w:r>
      <w:r>
        <w:rPr>
          <w:color w:val="000000"/>
          <w:szCs w:val="20"/>
          <w:u w:color="000000"/>
          <w:shd w:val="clear" w:color="auto" w:fill="FFFFFF"/>
          <w:lang w:val="x-none" w:eastAsia="en-US" w:bidi="ar-SA"/>
        </w:rPr>
        <w:t xml:space="preserve">1 pomnika przyrody tj utworzenia uchwały rady miejskiej w sprawie pomnika przyrody znajdującego się na terenie gminy Sławków w celu dostosowania prawa miejscowego do aktualnych przepisów wynikających z ustawy o ochronie przyrody i wyeliminowania niejasności w zakresie  sprawującego nadzór, </w:t>
      </w:r>
      <w:r>
        <w:rPr>
          <w:color w:val="000000"/>
          <w:szCs w:val="20"/>
          <w:u w:color="000000"/>
          <w:shd w:val="clear" w:color="auto" w:fill="FFFFFF"/>
        </w:rPr>
        <w:t>w części 2 w</w:t>
      </w:r>
      <w:proofErr w:type="spellStart"/>
      <w:r>
        <w:rPr>
          <w:color w:val="000000"/>
          <w:szCs w:val="20"/>
          <w:u w:color="000000"/>
          <w:shd w:val="clear" w:color="auto" w:fill="FFFFFF"/>
          <w:lang w:val="x-none" w:eastAsia="en-US" w:bidi="ar-SA"/>
        </w:rPr>
        <w:t>ydania</w:t>
      </w:r>
      <w:proofErr w:type="spellEnd"/>
      <w:r>
        <w:rPr>
          <w:color w:val="000000"/>
          <w:szCs w:val="20"/>
          <w:u w:color="000000"/>
          <w:shd w:val="clear" w:color="auto" w:fill="FFFFFF"/>
          <w:lang w:val="x-none" w:eastAsia="en-US" w:bidi="ar-SA"/>
        </w:rPr>
        <w:t xml:space="preserve"> stosownego polecenia lub przyjęcia uchwały zobowiązując</w:t>
      </w:r>
      <w:r>
        <w:rPr>
          <w:color w:val="000000"/>
          <w:szCs w:val="20"/>
          <w:u w:color="000000"/>
          <w:shd w:val="clear" w:color="auto" w:fill="FFFFFF"/>
        </w:rPr>
        <w:t>e</w:t>
      </w:r>
      <w:r>
        <w:rPr>
          <w:color w:val="000000"/>
          <w:szCs w:val="20"/>
          <w:u w:color="000000"/>
          <w:shd w:val="clear" w:color="auto" w:fill="FFFFFF"/>
          <w:lang w:val="x-none" w:eastAsia="en-US" w:bidi="ar-SA"/>
        </w:rPr>
        <w:t>j organ wykonawczy do cyklicznego przedstawiania radzie miejskiej - nie rzadziej niż raz na rok lub raz na dwa lata raportu realizacji programu ochrony dotyczącego aktualnego stanu pomników przyrody, obejmującego ocenę ich zdrowotności, kompletności oznakowania, stanu otoczenia oraz potrzeb w zakresie ni</w:t>
      </w:r>
      <w:r>
        <w:rPr>
          <w:color w:val="000000"/>
          <w:szCs w:val="20"/>
          <w:u w:color="000000"/>
          <w:shd w:val="clear" w:color="auto" w:fill="FFFFFF"/>
        </w:rPr>
        <w:t>e</w:t>
      </w:r>
      <w:r>
        <w:rPr>
          <w:color w:val="000000"/>
          <w:szCs w:val="20"/>
          <w:u w:color="000000"/>
          <w:shd w:val="clear" w:color="auto" w:fill="FFFFFF"/>
          <w:lang w:val="x-none" w:eastAsia="en-US" w:bidi="ar-SA"/>
        </w:rPr>
        <w:t>zbędnych prac pielęgnacyjnych</w:t>
      </w:r>
      <w:r>
        <w:rPr>
          <w:color w:val="000000"/>
          <w:szCs w:val="20"/>
          <w:u w:color="000000"/>
          <w:shd w:val="clear" w:color="auto" w:fill="FFFFFF"/>
        </w:rPr>
        <w:t xml:space="preserve">. </w:t>
      </w:r>
    </w:p>
    <w:p w14:paraId="70265790" w14:textId="77777777" w:rsidR="00BF6E25" w:rsidRDefault="00000000">
      <w:pPr>
        <w:spacing w:line="360" w:lineRule="auto"/>
        <w:ind w:firstLine="720"/>
        <w:rPr>
          <w:color w:val="000000"/>
          <w:szCs w:val="20"/>
          <w:u w:color="000000"/>
          <w:shd w:val="clear" w:color="auto" w:fill="FFFFFF"/>
          <w:lang w:val="x-none" w:eastAsia="en-US" w:bidi="ar-SA"/>
        </w:rPr>
      </w:pPr>
      <w:r>
        <w:rPr>
          <w:color w:val="000000"/>
          <w:szCs w:val="20"/>
          <w:shd w:val="clear" w:color="auto" w:fill="FFFFFF"/>
        </w:rPr>
        <w:t xml:space="preserve">Petycja została skierowana przez Przewodniczącego Rady Miejskiej do Komisji Skarg, Wniosków i Petycji w celu jej rozpatrzenia. Posiedzenie Komisji zostało zwołane na dzień 3 września 2025 r. Podczas Komisji omówiona została treść przedmiotowej petycji. Po analizie treści petycji oraz jej postulatów członkowie Komisji postanowili zawnioskować o uznanie petycji za bezzasadną w całości. </w:t>
      </w:r>
      <w:r>
        <w:rPr>
          <w:color w:val="000000"/>
          <w:szCs w:val="20"/>
          <w:u w:color="000000"/>
          <w:shd w:val="clear" w:color="auto" w:fill="FFFFFF"/>
          <w:lang w:val="x-none" w:eastAsia="en-US" w:bidi="ar-SA"/>
        </w:rPr>
        <w:t xml:space="preserve"> </w:t>
      </w:r>
    </w:p>
    <w:p w14:paraId="09FA1B10" w14:textId="77777777" w:rsidR="00BF6E25" w:rsidRDefault="00000000">
      <w:pPr>
        <w:spacing w:line="360" w:lineRule="auto"/>
        <w:ind w:firstLine="720"/>
        <w:rPr>
          <w:color w:val="000000"/>
          <w:szCs w:val="20"/>
          <w:shd w:val="clear" w:color="auto" w:fill="FFFFFF"/>
        </w:rPr>
      </w:pPr>
      <w:r>
        <w:rPr>
          <w:color w:val="000000"/>
          <w:szCs w:val="20"/>
          <w:u w:color="000000"/>
          <w:shd w:val="clear" w:color="auto" w:fill="FFFFFF"/>
        </w:rPr>
        <w:t>Odnosząc się do części 1 pomnik przyrody, jakim jest grusza pospolita rosnąca przy ulicy Krzywda w Sławkowie, został ustanowiony Rozporządzeniem Nr 12/08 Wojewody Śląskiego z dnia 20 lutego 2008 r. w sprawie pomnika przyrody - drzewa gatunku grusza pospolita (</w:t>
      </w:r>
      <w:proofErr w:type="spellStart"/>
      <w:r>
        <w:rPr>
          <w:color w:val="000000"/>
          <w:szCs w:val="20"/>
          <w:u w:color="000000"/>
          <w:shd w:val="clear" w:color="auto" w:fill="FFFFFF"/>
        </w:rPr>
        <w:t>Pyrus</w:t>
      </w:r>
      <w:proofErr w:type="spellEnd"/>
      <w:r>
        <w:rPr>
          <w:color w:val="000000"/>
          <w:szCs w:val="20"/>
          <w:u w:color="000000"/>
          <w:shd w:val="clear" w:color="auto" w:fill="FFFFFF"/>
        </w:rPr>
        <w:t xml:space="preserve"> </w:t>
      </w:r>
      <w:proofErr w:type="spellStart"/>
      <w:r>
        <w:rPr>
          <w:color w:val="000000"/>
          <w:szCs w:val="20"/>
          <w:u w:color="000000"/>
          <w:shd w:val="clear" w:color="auto" w:fill="FFFFFF"/>
        </w:rPr>
        <w:t>communis</w:t>
      </w:r>
      <w:proofErr w:type="spellEnd"/>
      <w:r>
        <w:rPr>
          <w:color w:val="000000"/>
          <w:szCs w:val="20"/>
          <w:u w:color="000000"/>
          <w:shd w:val="clear" w:color="auto" w:fill="FFFFFF"/>
        </w:rPr>
        <w:t>) rosnącego na terenie miasta Sławków (</w:t>
      </w:r>
      <w:r>
        <w:rPr>
          <w:color w:val="000000"/>
          <w:szCs w:val="20"/>
          <w:shd w:val="clear" w:color="auto" w:fill="FFFFFF"/>
          <w:lang w:val="x-none" w:eastAsia="en-US" w:bidi="ar-SA"/>
        </w:rPr>
        <w:t xml:space="preserve">Dz. Urz. Woj. </w:t>
      </w:r>
      <w:proofErr w:type="spellStart"/>
      <w:r>
        <w:rPr>
          <w:color w:val="000000"/>
          <w:szCs w:val="20"/>
          <w:shd w:val="clear" w:color="auto" w:fill="FFFFFF"/>
          <w:lang w:val="x-none" w:eastAsia="en-US" w:bidi="ar-SA"/>
        </w:rPr>
        <w:t>Slask</w:t>
      </w:r>
      <w:proofErr w:type="spellEnd"/>
      <w:r>
        <w:rPr>
          <w:color w:val="000000"/>
          <w:szCs w:val="20"/>
          <w:shd w:val="clear" w:color="auto" w:fill="FFFFFF"/>
          <w:lang w:val="x-none" w:eastAsia="en-US" w:bidi="ar-SA"/>
        </w:rPr>
        <w:t>. z 2008 r. Nr 37, poz.799</w:t>
      </w:r>
      <w:r>
        <w:rPr>
          <w:color w:val="000000"/>
          <w:szCs w:val="20"/>
          <w:shd w:val="clear" w:color="auto" w:fill="FFFFFF"/>
        </w:rPr>
        <w:t>), dodatkowo wpisany jest do Centralnego Rejestru Form Ochrony Przyrody</w:t>
      </w:r>
      <w:r>
        <w:rPr>
          <w:color w:val="000000"/>
          <w:szCs w:val="20"/>
          <w:u w:color="000000"/>
          <w:shd w:val="clear" w:color="auto" w:fill="FFFFFF"/>
        </w:rPr>
        <w:t>. Pomnik przyrody jest</w:t>
      </w:r>
      <w:r>
        <w:rPr>
          <w:color w:val="000000"/>
          <w:szCs w:val="20"/>
          <w:shd w:val="clear" w:color="auto" w:fill="FFFFFF"/>
          <w:lang w:val="x-none" w:eastAsia="en-US" w:bidi="ar-SA"/>
        </w:rPr>
        <w:t xml:space="preserve"> już ustanowion</w:t>
      </w:r>
      <w:r>
        <w:rPr>
          <w:color w:val="000000"/>
          <w:szCs w:val="20"/>
          <w:shd w:val="clear" w:color="auto" w:fill="FFFFFF"/>
        </w:rPr>
        <w:t>y</w:t>
      </w:r>
      <w:r>
        <w:rPr>
          <w:color w:val="000000"/>
          <w:szCs w:val="20"/>
          <w:shd w:val="clear" w:color="auto" w:fill="FFFFFF"/>
          <w:lang w:val="x-none" w:eastAsia="en-US" w:bidi="ar-SA"/>
        </w:rPr>
        <w:t xml:space="preserve"> na podstawie w/w dokument</w:t>
      </w:r>
      <w:r>
        <w:rPr>
          <w:color w:val="000000"/>
          <w:szCs w:val="20"/>
          <w:shd w:val="clear" w:color="auto" w:fill="FFFFFF"/>
        </w:rPr>
        <w:t>u</w:t>
      </w:r>
      <w:r>
        <w:rPr>
          <w:color w:val="000000"/>
          <w:szCs w:val="20"/>
          <w:shd w:val="clear" w:color="auto" w:fill="FFFFFF"/>
          <w:lang w:val="x-none" w:eastAsia="en-US" w:bidi="ar-SA"/>
        </w:rPr>
        <w:t>, któ</w:t>
      </w:r>
      <w:r>
        <w:rPr>
          <w:color w:val="000000"/>
          <w:szCs w:val="20"/>
          <w:shd w:val="clear" w:color="auto" w:fill="FFFFFF"/>
        </w:rPr>
        <w:t>ry</w:t>
      </w:r>
      <w:r>
        <w:rPr>
          <w:color w:val="000000"/>
          <w:szCs w:val="20"/>
          <w:shd w:val="clear" w:color="auto" w:fill="FFFFFF"/>
          <w:lang w:val="x-none" w:eastAsia="en-US" w:bidi="ar-SA"/>
        </w:rPr>
        <w:t xml:space="preserve"> zgodnie</w:t>
      </w:r>
      <w:r>
        <w:rPr>
          <w:color w:val="000000"/>
          <w:szCs w:val="20"/>
          <w:shd w:val="clear" w:color="auto" w:fill="FFFFFF"/>
        </w:rPr>
        <w:t xml:space="preserve"> </w:t>
      </w:r>
      <w:r>
        <w:rPr>
          <w:color w:val="000000"/>
          <w:szCs w:val="20"/>
          <w:shd w:val="clear" w:color="auto" w:fill="FFFFFF"/>
          <w:lang w:val="x-none" w:eastAsia="en-US" w:bidi="ar-SA"/>
        </w:rPr>
        <w:t xml:space="preserve">z </w:t>
      </w:r>
      <w:r>
        <w:rPr>
          <w:color w:val="000000"/>
          <w:szCs w:val="20"/>
          <w:shd w:val="clear" w:color="auto" w:fill="FFFFFF"/>
        </w:rPr>
        <w:t xml:space="preserve">art. 35 ust. 1 ustawy z dnia 23 stycznia 2009 r. o  zmianie niektórych ustaw w związku ze zmianami w organizacji i podziale zadań administracji publicznej w województwie: „do czasu wejścia w życie aktów prawa miejscowego wydanych na podstawie upoważnień zmieniających niniejszą ustawę zachowują moc dotychczasowe akty prawa miejscowego”. Tym samym na chwilę obecną nie ma pilnej potrzeby aktualizacji prawa miejscowego. Wskazać należy, iż wspomniany pomnik przyrody mieści się na terenie działki prywatnej co uniemożliwia podjęcie dalszych działań przez radę miejską. </w:t>
      </w:r>
    </w:p>
    <w:p w14:paraId="5AECF014" w14:textId="77777777" w:rsidR="00BF6E25" w:rsidRDefault="00000000">
      <w:pPr>
        <w:spacing w:line="360" w:lineRule="auto"/>
        <w:ind w:firstLine="720"/>
        <w:rPr>
          <w:color w:val="000000"/>
          <w:szCs w:val="20"/>
          <w:shd w:val="clear" w:color="auto" w:fill="FFFFFF"/>
        </w:rPr>
      </w:pPr>
      <w:r>
        <w:rPr>
          <w:color w:val="000000"/>
          <w:szCs w:val="20"/>
          <w:shd w:val="clear" w:color="auto" w:fill="FFFFFF"/>
        </w:rPr>
        <w:t xml:space="preserve">Odnosząc się zaś do treści petycji część 2 Komisja Skarg, Wniosków i Petycji postanowiła nie uwzględnić petycji również w tym zakresie. Wskazać należy, że aktualnie przepisy prawa nie obligują organu wykonawczego do przedstawiania raportu stanu pomników przyrody radzie gminy. </w:t>
      </w:r>
    </w:p>
    <w:p w14:paraId="4EC3231B" w14:textId="77777777" w:rsidR="00BF6E25" w:rsidRDefault="00000000">
      <w:pPr>
        <w:spacing w:line="360" w:lineRule="auto"/>
        <w:ind w:firstLine="720"/>
        <w:rPr>
          <w:color w:val="000000"/>
          <w:szCs w:val="20"/>
          <w:shd w:val="clear" w:color="auto" w:fill="FFFFFF"/>
          <w:lang w:val="x-none" w:eastAsia="en-US" w:bidi="ar-SA"/>
        </w:rPr>
      </w:pPr>
      <w:r>
        <w:rPr>
          <w:color w:val="000000"/>
          <w:szCs w:val="20"/>
          <w:shd w:val="clear" w:color="auto" w:fill="FFFFFF"/>
        </w:rPr>
        <w:t xml:space="preserve">Mając na uwadze powyższe Komisja skarg, Wniosków i Petycji rekomenduje o uznanie petycji przez Radę Miejską w Sławkowie za bezzasadną. </w:t>
      </w:r>
    </w:p>
    <w:p w14:paraId="2F26959B" w14:textId="77777777" w:rsidR="00BF6E25" w:rsidRDefault="00000000">
      <w:pPr>
        <w:spacing w:line="360" w:lineRule="auto"/>
        <w:ind w:firstLine="720"/>
        <w:rPr>
          <w:color w:val="000000"/>
          <w:szCs w:val="20"/>
          <w:shd w:val="clear" w:color="auto" w:fill="FFFFFF"/>
        </w:rPr>
      </w:pPr>
      <w:r>
        <w:rPr>
          <w:color w:val="000000"/>
          <w:szCs w:val="20"/>
          <w:shd w:val="clear" w:color="auto" w:fill="FFFFFF"/>
        </w:rPr>
        <w:t xml:space="preserve">Niniejsza uchwała wraz z jej uzasadnieniem stanowi zawiadomienie o sposobie załatwienia petycji w rozumieniu art. 13 ust. 1 ustawy o petycjach. Zgodnie z  art. 13 ust. 2 ustawy o petycjach sposób załatwienia petycji nie może być przedmiotem skargi.   </w:t>
      </w:r>
    </w:p>
    <w:p w14:paraId="76462A21" w14:textId="77777777" w:rsidR="00BF6E25" w:rsidRDefault="00BF6E25">
      <w:pPr>
        <w:spacing w:line="360" w:lineRule="auto"/>
        <w:ind w:firstLine="720"/>
        <w:rPr>
          <w:color w:val="000000"/>
          <w:szCs w:val="20"/>
          <w:shd w:val="clear" w:color="auto" w:fill="FFFFFF"/>
          <w:lang w:val="x-none" w:eastAsia="en-US" w:bidi="ar-SA"/>
        </w:rPr>
      </w:pPr>
    </w:p>
    <w:sectPr w:rsidR="00BF6E25">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EDBA" w14:textId="77777777" w:rsidR="008B06EC" w:rsidRDefault="008B06EC">
      <w:r>
        <w:separator/>
      </w:r>
    </w:p>
  </w:endnote>
  <w:endnote w:type="continuationSeparator" w:id="0">
    <w:p w14:paraId="087380E0" w14:textId="77777777" w:rsidR="008B06EC" w:rsidRDefault="008B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BF6E25" w14:paraId="7BAC10DF" w14:textId="77777777">
      <w:tc>
        <w:tcPr>
          <w:tcW w:w="6804" w:type="dxa"/>
          <w:tcBorders>
            <w:top w:val="nil"/>
            <w:left w:val="nil"/>
            <w:bottom w:val="nil"/>
            <w:right w:val="nil"/>
          </w:tcBorders>
          <w:tcMar>
            <w:top w:w="100" w:type="dxa"/>
            <w:left w:w="0" w:type="dxa"/>
            <w:bottom w:w="0" w:type="dxa"/>
            <w:right w:w="0" w:type="dxa"/>
          </w:tcMar>
          <w:hideMark/>
        </w:tcPr>
        <w:p w14:paraId="1D62A03E" w14:textId="77777777" w:rsidR="00BF6E25" w:rsidRDefault="00000000">
          <w:pPr>
            <w:jc w:val="left"/>
            <w:rPr>
              <w:sz w:val="18"/>
            </w:rPr>
          </w:pPr>
          <w:r>
            <w:rPr>
              <w:sz w:val="18"/>
            </w:rPr>
            <w:t>Id: BEE92EC5-EEA2-4488-A0F4-32BC5A3C1BAE. Podpisany</w:t>
          </w:r>
        </w:p>
      </w:tc>
      <w:tc>
        <w:tcPr>
          <w:tcW w:w="3402" w:type="dxa"/>
          <w:tcBorders>
            <w:top w:val="nil"/>
            <w:left w:val="nil"/>
            <w:bottom w:val="nil"/>
            <w:right w:val="nil"/>
          </w:tcBorders>
          <w:tcMar>
            <w:top w:w="100" w:type="dxa"/>
            <w:left w:w="0" w:type="dxa"/>
            <w:bottom w:w="0" w:type="dxa"/>
            <w:right w:w="0" w:type="dxa"/>
          </w:tcMar>
          <w:hideMark/>
        </w:tcPr>
        <w:p w14:paraId="6BAA347A" w14:textId="77777777" w:rsidR="00BF6E2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A70C58">
            <w:rPr>
              <w:noProof/>
              <w:sz w:val="18"/>
            </w:rPr>
            <w:t>1</w:t>
          </w:r>
          <w:r>
            <w:rPr>
              <w:sz w:val="18"/>
            </w:rPr>
            <w:fldChar w:fldCharType="end"/>
          </w:r>
        </w:p>
      </w:tc>
    </w:tr>
  </w:tbl>
  <w:p w14:paraId="1310323A" w14:textId="77777777" w:rsidR="00BF6E25" w:rsidRDefault="00BF6E25">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BF6E25" w14:paraId="4AB4E344" w14:textId="77777777">
      <w:tc>
        <w:tcPr>
          <w:tcW w:w="6403" w:type="dxa"/>
          <w:tcBorders>
            <w:top w:val="nil"/>
            <w:left w:val="nil"/>
            <w:bottom w:val="nil"/>
            <w:right w:val="nil"/>
          </w:tcBorders>
          <w:tcMar>
            <w:top w:w="100" w:type="dxa"/>
            <w:left w:w="0" w:type="dxa"/>
            <w:bottom w:w="0" w:type="dxa"/>
            <w:right w:w="0" w:type="dxa"/>
          </w:tcMar>
          <w:hideMark/>
        </w:tcPr>
        <w:p w14:paraId="5954E30C" w14:textId="77777777" w:rsidR="00BF6E25" w:rsidRDefault="00000000">
          <w:pPr>
            <w:jc w:val="left"/>
            <w:rPr>
              <w:sz w:val="18"/>
            </w:rPr>
          </w:pPr>
          <w:r>
            <w:rPr>
              <w:sz w:val="18"/>
            </w:rPr>
            <w:t>Id: BEE92EC5-EEA2-4488-A0F4-32BC5A3C1BAE. Podpisany</w:t>
          </w:r>
        </w:p>
      </w:tc>
      <w:tc>
        <w:tcPr>
          <w:tcW w:w="3202" w:type="dxa"/>
          <w:tcBorders>
            <w:top w:val="nil"/>
            <w:left w:val="nil"/>
            <w:bottom w:val="nil"/>
            <w:right w:val="nil"/>
          </w:tcBorders>
          <w:tcMar>
            <w:top w:w="100" w:type="dxa"/>
            <w:left w:w="0" w:type="dxa"/>
            <w:bottom w:w="0" w:type="dxa"/>
            <w:right w:w="0" w:type="dxa"/>
          </w:tcMar>
          <w:hideMark/>
        </w:tcPr>
        <w:p w14:paraId="28972D62" w14:textId="77777777" w:rsidR="00BF6E2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A70C58">
            <w:rPr>
              <w:noProof/>
              <w:sz w:val="18"/>
            </w:rPr>
            <w:t>2</w:t>
          </w:r>
          <w:r>
            <w:rPr>
              <w:sz w:val="18"/>
            </w:rPr>
            <w:fldChar w:fldCharType="end"/>
          </w:r>
        </w:p>
      </w:tc>
    </w:tr>
  </w:tbl>
  <w:p w14:paraId="187F794E" w14:textId="77777777" w:rsidR="00BF6E25" w:rsidRDefault="00BF6E2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8167" w14:textId="77777777" w:rsidR="008B06EC" w:rsidRDefault="008B06EC">
      <w:r>
        <w:separator/>
      </w:r>
    </w:p>
  </w:footnote>
  <w:footnote w:type="continuationSeparator" w:id="0">
    <w:p w14:paraId="12D8C1D7" w14:textId="77777777" w:rsidR="008B06EC" w:rsidRDefault="008B0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8930E3"/>
    <w:rsid w:val="008B06EC"/>
    <w:rsid w:val="00A70C58"/>
    <w:rsid w:val="00A77B3E"/>
    <w:rsid w:val="00BF6E25"/>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25376"/>
  <w15:docId w15:val="{FE4BA5E8-F59B-4EAA-A277-664D509D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Rada Miejska w Sławkowie</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XVIII/133/2025 z dnia 18 września 2025 r.</dc:title>
  <dc:subject>w sprawie rozpatrzenia petycji</dc:subject>
  <dc:creator>akedzierska</dc:creator>
  <cp:lastModifiedBy>Anna Kędzierska</cp:lastModifiedBy>
  <cp:revision>2</cp:revision>
  <dcterms:created xsi:type="dcterms:W3CDTF">2025-09-24T11:04:00Z</dcterms:created>
  <dcterms:modified xsi:type="dcterms:W3CDTF">2025-09-24T09:05:00Z</dcterms:modified>
  <cp:category>Akt prawny</cp:category>
</cp:coreProperties>
</file>